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240" w:lineRule="atLeast"/>
        <w:ind w:left="0" w:right="0"/>
        <w:jc w:val="center"/>
        <w:textAlignment w:val="center"/>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u w:val="none"/>
          <w:lang w:val="en-US" w:eastAsia="zh-CN" w:bidi="ar"/>
        </w:rPr>
        <w:fldChar w:fldCharType="begin"/>
      </w:r>
      <w:r>
        <w:rPr>
          <w:rFonts w:hint="eastAsia" w:asciiTheme="minorEastAsia" w:hAnsiTheme="minorEastAsia" w:eastAsiaTheme="minorEastAsia" w:cstheme="minorEastAsia"/>
          <w:b w:val="0"/>
          <w:bCs w:val="0"/>
          <w:color w:val="auto"/>
          <w:kern w:val="0"/>
          <w:sz w:val="24"/>
          <w:szCs w:val="24"/>
          <w:u w:val="none"/>
          <w:lang w:val="en-US" w:eastAsia="zh-CN" w:bidi="ar"/>
        </w:rPr>
        <w:instrText xml:space="preserve"> HYPERLINK "http://www.baotigroup.com/javascript:void(0);" \o "分享到腾讯微博" </w:instrText>
      </w:r>
      <w:r>
        <w:rPr>
          <w:rFonts w:hint="eastAsia" w:asciiTheme="minorEastAsia" w:hAnsiTheme="minorEastAsia" w:eastAsiaTheme="minorEastAsia" w:cstheme="minorEastAsia"/>
          <w:b w:val="0"/>
          <w:bCs w:val="0"/>
          <w:color w:val="auto"/>
          <w:kern w:val="0"/>
          <w:sz w:val="24"/>
          <w:szCs w:val="24"/>
          <w:u w:val="none"/>
          <w:lang w:val="en-US" w:eastAsia="zh-CN" w:bidi="ar"/>
        </w:rPr>
        <w:fldChar w:fldCharType="separate"/>
      </w:r>
      <w:r>
        <w:rPr>
          <w:rFonts w:hint="eastAsia" w:asciiTheme="minorEastAsia" w:hAnsiTheme="minorEastAsia" w:eastAsiaTheme="minorEastAsia" w:cstheme="minorEastAsia"/>
          <w:b w:val="0"/>
          <w:bCs w:val="0"/>
          <w:color w:val="auto"/>
          <w:kern w:val="0"/>
          <w:sz w:val="24"/>
          <w:szCs w:val="24"/>
          <w:u w:val="none"/>
          <w:lang w:val="en-US" w:eastAsia="zh-CN" w:bidi="ar"/>
        </w:rPr>
        <w:fldChar w:fldCharType="end"/>
      </w:r>
      <w:r>
        <w:rPr>
          <w:rFonts w:hint="eastAsia" w:asciiTheme="minorEastAsia" w:hAnsiTheme="minorEastAsia" w:eastAsiaTheme="minorEastAsia" w:cstheme="minorEastAsia"/>
          <w:b w:val="0"/>
          <w:bCs w:val="0"/>
          <w:color w:val="auto"/>
          <w:kern w:val="0"/>
          <w:sz w:val="24"/>
          <w:szCs w:val="24"/>
          <w:u w:val="none"/>
          <w:lang w:val="en-US" w:eastAsia="zh-CN" w:bidi="ar"/>
        </w:rPr>
        <w:fldChar w:fldCharType="begin"/>
      </w:r>
      <w:r>
        <w:rPr>
          <w:rFonts w:hint="eastAsia" w:asciiTheme="minorEastAsia" w:hAnsiTheme="minorEastAsia" w:eastAsiaTheme="minorEastAsia" w:cstheme="minorEastAsia"/>
          <w:b w:val="0"/>
          <w:bCs w:val="0"/>
          <w:color w:val="auto"/>
          <w:kern w:val="0"/>
          <w:sz w:val="24"/>
          <w:szCs w:val="24"/>
          <w:u w:val="none"/>
          <w:lang w:val="en-US" w:eastAsia="zh-CN" w:bidi="ar"/>
        </w:rPr>
        <w:instrText xml:space="preserve"> HYPERLINK "http://www.baotigroup.com/javascript:void(0);" \o "分享到微信" </w:instrText>
      </w:r>
      <w:r>
        <w:rPr>
          <w:rFonts w:hint="eastAsia" w:asciiTheme="minorEastAsia" w:hAnsiTheme="minorEastAsia" w:eastAsiaTheme="minorEastAsia" w:cstheme="minorEastAsia"/>
          <w:b w:val="0"/>
          <w:bCs w:val="0"/>
          <w:color w:val="auto"/>
          <w:kern w:val="0"/>
          <w:sz w:val="24"/>
          <w:szCs w:val="24"/>
          <w:u w:val="none"/>
          <w:lang w:val="en-US" w:eastAsia="zh-CN" w:bidi="ar"/>
        </w:rPr>
        <w:fldChar w:fldCharType="separate"/>
      </w:r>
      <w:r>
        <w:rPr>
          <w:rFonts w:hint="eastAsia" w:asciiTheme="minorEastAsia" w:hAnsiTheme="minorEastAsia" w:eastAsiaTheme="minorEastAsia" w:cstheme="minorEastAsia"/>
          <w:b w:val="0"/>
          <w:bCs w:val="0"/>
          <w:color w:val="auto"/>
          <w:kern w:val="0"/>
          <w:sz w:val="24"/>
          <w:szCs w:val="24"/>
          <w:u w:val="none"/>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Theme="minorEastAsia" w:hAnsiTheme="minorEastAsia" w:eastAsiaTheme="minorEastAsia" w:cstheme="minorEastAsia"/>
          <w:b/>
          <w:bCs/>
          <w:color w:val="auto"/>
          <w:kern w:val="0"/>
          <w:sz w:val="32"/>
          <w:szCs w:val="32"/>
          <w:lang w:val="en-US" w:eastAsia="zh-CN" w:bidi="ar"/>
        </w:rPr>
      </w:pPr>
      <w:r>
        <w:rPr>
          <w:rFonts w:hint="eastAsia" w:asciiTheme="minorEastAsia" w:hAnsiTheme="minorEastAsia" w:eastAsiaTheme="minorEastAsia" w:cstheme="minorEastAsia"/>
          <w:b/>
          <w:bCs/>
          <w:color w:val="auto"/>
          <w:kern w:val="0"/>
          <w:sz w:val="32"/>
          <w:szCs w:val="32"/>
          <w:lang w:val="en-US" w:eastAsia="zh-CN" w:bidi="ar"/>
        </w:rPr>
        <w:t>陕西宝钛泰乐精密制造有限公司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jc w:val="center"/>
        <w:rPr>
          <w:rFonts w:hint="eastAsia" w:asciiTheme="minorEastAsia" w:hAnsiTheme="minorEastAsia" w:eastAsiaTheme="minorEastAsia" w:cstheme="minorEastAsia"/>
          <w:b/>
          <w:bCs/>
          <w:color w:val="auto"/>
          <w:sz w:val="32"/>
          <w:szCs w:val="32"/>
        </w:rPr>
      </w:pPr>
      <w:r>
        <w:rPr>
          <w:rFonts w:hint="eastAsia" w:ascii="宋体" w:hAnsi="宋体" w:eastAsia="宋体" w:cs="宋体"/>
          <w:b/>
          <w:bCs/>
          <w:sz w:val="32"/>
          <w:szCs w:val="32"/>
          <w:lang w:eastAsia="zh-CN"/>
        </w:rPr>
        <w:t>各种机床及辅助装置购置</w:t>
      </w:r>
      <w:r>
        <w:rPr>
          <w:rFonts w:hint="eastAsia" w:ascii="宋体" w:hAnsi="宋体"/>
          <w:b/>
          <w:bCs/>
          <w:sz w:val="32"/>
          <w:szCs w:val="32"/>
        </w:rPr>
        <w:t>招标</w:t>
      </w:r>
      <w:r>
        <w:rPr>
          <w:rFonts w:hint="eastAsia" w:asciiTheme="minorEastAsia" w:hAnsiTheme="minorEastAsia" w:eastAsiaTheme="minorEastAsia" w:cstheme="minorEastAsia"/>
          <w:b/>
          <w:bCs/>
          <w:color w:val="auto"/>
          <w:kern w:val="0"/>
          <w:sz w:val="32"/>
          <w:szCs w:val="32"/>
          <w:lang w:val="en-US" w:eastAsia="zh-CN" w:bidi="ar"/>
        </w:rPr>
        <w:t>公告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项目所在地：陕西省，宝鸡市 </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招标内容和范围</w:t>
      </w:r>
      <w:r>
        <w:rPr>
          <w:rFonts w:hint="eastAsia" w:asciiTheme="minorEastAsia" w:hAnsiTheme="minorEastAsia" w:eastAsiaTheme="minorEastAsia" w:cstheme="minorEastAsia"/>
          <w:b w:val="0"/>
          <w:bCs w:val="0"/>
          <w:color w:val="auto"/>
          <w:kern w:val="0"/>
          <w:sz w:val="24"/>
          <w:szCs w:val="24"/>
          <w:lang w:val="en-US" w:eastAsia="zh-CN" w:bidi="ar"/>
        </w:rPr>
        <w:t>：</w:t>
      </w:r>
    </w:p>
    <w:p>
      <w:pPr>
        <w:numPr>
          <w:ilvl w:val="0"/>
          <w:numId w:val="0"/>
        </w:numPr>
        <w:spacing w:line="440" w:lineRule="exact"/>
        <w:ind w:firstLine="480" w:firstLineChars="200"/>
        <w:jc w:val="left"/>
        <w:rPr>
          <w:rFonts w:hint="eastAsia" w:ascii="宋体" w:hAnsi="宋体"/>
          <w:sz w:val="24"/>
        </w:rPr>
      </w:pPr>
      <w:r>
        <w:rPr>
          <w:rFonts w:hint="eastAsia" w:ascii="宋体" w:hAnsi="宋体" w:eastAsia="宋体" w:cs="宋体"/>
          <w:sz w:val="24"/>
          <w:szCs w:val="24"/>
          <w:lang w:val="en-US" w:eastAsia="zh-CN"/>
        </w:rPr>
        <w:t>1、</w:t>
      </w:r>
      <w:r>
        <w:rPr>
          <w:rFonts w:hint="eastAsia" w:ascii="宋体" w:hAnsi="宋体" w:eastAsia="宋体" w:cs="宋体"/>
          <w:i w:val="0"/>
          <w:iCs w:val="0"/>
          <w:color w:val="000000"/>
          <w:kern w:val="0"/>
          <w:sz w:val="24"/>
          <w:szCs w:val="24"/>
          <w:u w:val="none"/>
          <w:lang w:val="en-US" w:eastAsia="zh-CN" w:bidi="ar"/>
        </w:rPr>
        <w:t>精密数控车床1台；</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、普通数控车床1台；</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、铣床1台；</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、锯床1台；</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、走心机1台；6、摇臂钻1台；7）悬臂吊3个；8）外圆磨1台；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二、招标项目规模及概况：</w:t>
      </w:r>
      <w:r>
        <w:rPr>
          <w:rFonts w:hint="eastAsia" w:asciiTheme="minorEastAsia" w:hAnsiTheme="minorEastAsia" w:eastAsiaTheme="minorEastAsia" w:cstheme="minorEastAsia"/>
          <w:b w:val="0"/>
          <w:bCs w:val="0"/>
          <w:color w:val="auto"/>
          <w:kern w:val="0"/>
          <w:sz w:val="24"/>
          <w:szCs w:val="24"/>
          <w:lang w:val="en-US" w:eastAsia="zh-CN" w:bidi="ar"/>
        </w:rPr>
        <w:t>本招标项目划分为1个标段，本次招标为其中的，陕西宝钛泰乐精密制造有限公司</w:t>
      </w:r>
      <w:r>
        <w:rPr>
          <w:rFonts w:hint="eastAsia" w:ascii="宋体" w:hAnsi="宋体" w:eastAsia="宋体" w:cs="宋体"/>
          <w:b w:val="0"/>
          <w:bCs w:val="0"/>
          <w:sz w:val="24"/>
          <w:szCs w:val="24"/>
          <w:lang w:eastAsia="zh-CN"/>
        </w:rPr>
        <w:t>各种机床及辅助装置购置</w:t>
      </w:r>
      <w:r>
        <w:rPr>
          <w:rFonts w:hint="eastAsia" w:asciiTheme="minorEastAsia" w:hAnsiTheme="minorEastAsia" w:eastAsiaTheme="minorEastAsia" w:cstheme="minorEastAsia"/>
          <w:b w:val="0"/>
          <w:bCs w:val="0"/>
          <w:color w:val="auto"/>
          <w:kern w:val="0"/>
          <w:sz w:val="24"/>
          <w:szCs w:val="24"/>
          <w:lang w:val="en-US" w:eastAsia="zh-CN" w:bidi="ar"/>
        </w:rPr>
        <w:t xml:space="preserve">招标公告。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sz w:val="24"/>
          <w:szCs w:val="24"/>
        </w:rPr>
        <w:t>三、资金来源信息：</w:t>
      </w:r>
      <w:r>
        <w:rPr>
          <w:rFonts w:hint="eastAsia" w:asciiTheme="minorEastAsia" w:hAnsiTheme="minorEastAsia" w:eastAsiaTheme="minorEastAsia" w:cstheme="minorEastAsia"/>
          <w:b w:val="0"/>
          <w:bCs w:val="0"/>
          <w:color w:val="auto"/>
          <w:sz w:val="24"/>
          <w:szCs w:val="24"/>
        </w:rPr>
        <w:t xml:space="preserve">自筹资金。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sz w:val="24"/>
          <w:szCs w:val="24"/>
        </w:rPr>
        <w:t>四、监督部门名称：</w:t>
      </w:r>
      <w:r>
        <w:rPr>
          <w:rFonts w:hint="eastAsia" w:asciiTheme="minorEastAsia" w:hAnsiTheme="minorEastAsia" w:eastAsiaTheme="minorEastAsia" w:cstheme="minorEastAsia"/>
          <w:b w:val="0"/>
          <w:bCs w:val="0"/>
          <w:color w:val="auto"/>
          <w:sz w:val="24"/>
          <w:szCs w:val="24"/>
        </w:rPr>
        <w:t>宝钛集团有限公司纪委办综合室 举报电话0917-3258055  举报 </w:t>
      </w:r>
      <w:r>
        <w:rPr>
          <w:rFonts w:hint="eastAsia" w:asciiTheme="minorEastAsia" w:hAnsiTheme="minorEastAsia" w:eastAsiaTheme="minorEastAsia" w:cstheme="minorEastAsia"/>
          <w:b w:val="0"/>
          <w:bCs w:val="0"/>
          <w:color w:val="auto"/>
          <w:sz w:val="24"/>
          <w:szCs w:val="24"/>
          <w:u w:val="none"/>
        </w:rPr>
        <w:fldChar w:fldCharType="begin"/>
      </w:r>
      <w:r>
        <w:rPr>
          <w:rFonts w:hint="eastAsia" w:asciiTheme="minorEastAsia" w:hAnsiTheme="minorEastAsia" w:eastAsiaTheme="minorEastAsia" w:cstheme="minorEastAsia"/>
          <w:b w:val="0"/>
          <w:bCs w:val="0"/>
          <w:color w:val="auto"/>
          <w:sz w:val="24"/>
          <w:szCs w:val="24"/>
          <w:u w:val="none"/>
        </w:rPr>
        <w:instrText xml:space="preserve"> HYPERLINK "mailto:%E9%82%AE%E7%AE%B1jcc@baoti.com" </w:instrText>
      </w:r>
      <w:r>
        <w:rPr>
          <w:rFonts w:hint="eastAsia" w:asciiTheme="minorEastAsia" w:hAnsiTheme="minorEastAsia" w:eastAsiaTheme="minorEastAsia" w:cstheme="minorEastAsia"/>
          <w:b w:val="0"/>
          <w:bCs w:val="0"/>
          <w:color w:val="auto"/>
          <w:sz w:val="24"/>
          <w:szCs w:val="24"/>
          <w:u w:val="none"/>
        </w:rPr>
        <w:fldChar w:fldCharType="separate"/>
      </w:r>
      <w:r>
        <w:rPr>
          <w:rStyle w:val="9"/>
          <w:rFonts w:hint="eastAsia" w:asciiTheme="minorEastAsia" w:hAnsiTheme="minorEastAsia" w:eastAsiaTheme="minorEastAsia" w:cstheme="minorEastAsia"/>
          <w:b w:val="0"/>
          <w:bCs w:val="0"/>
          <w:color w:val="auto"/>
          <w:sz w:val="24"/>
          <w:szCs w:val="24"/>
          <w:u w:val="none"/>
        </w:rPr>
        <w:t>邮箱jcc@baoti.com</w:t>
      </w:r>
      <w:r>
        <w:rPr>
          <w:rFonts w:hint="eastAsia" w:asciiTheme="minorEastAsia" w:hAnsiTheme="minorEastAsia" w:eastAsiaTheme="minorEastAsia" w:cstheme="minorEastAsia"/>
          <w:b w:val="0"/>
          <w:bCs w:val="0"/>
          <w:color w:val="auto"/>
          <w:sz w:val="24"/>
          <w:szCs w:val="24"/>
          <w:u w:val="none"/>
        </w:rPr>
        <w:fldChar w:fldCharType="end"/>
      </w:r>
      <w:r>
        <w:rPr>
          <w:rFonts w:hint="eastAsia" w:asciiTheme="minorEastAsia" w:hAnsiTheme="minorEastAsia" w:eastAsiaTheme="minorEastAsia" w:cstheme="minorEastAsia"/>
          <w:b w:val="0"/>
          <w:bCs w:val="0"/>
          <w:color w:val="auto"/>
          <w:sz w:val="24"/>
          <w:szCs w:val="24"/>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五、标段名称：</w:t>
      </w:r>
      <w:r>
        <w:rPr>
          <w:rFonts w:hint="eastAsia" w:asciiTheme="minorEastAsia" w:hAnsiTheme="minorEastAsia" w:eastAsiaTheme="minorEastAsia" w:cstheme="minorEastAsia"/>
          <w:b w:val="0"/>
          <w:bCs w:val="0"/>
          <w:color w:val="auto"/>
          <w:kern w:val="0"/>
          <w:sz w:val="24"/>
          <w:szCs w:val="24"/>
          <w:lang w:val="en-US" w:eastAsia="zh-CN" w:bidi="ar"/>
        </w:rPr>
        <w:t>陕西宝钛泰乐精密制造有限公司</w:t>
      </w:r>
      <w:r>
        <w:rPr>
          <w:rFonts w:hint="eastAsia" w:ascii="宋体" w:hAnsi="宋体" w:eastAsia="宋体" w:cs="宋体"/>
          <w:b w:val="0"/>
          <w:bCs w:val="0"/>
          <w:sz w:val="24"/>
          <w:szCs w:val="24"/>
          <w:lang w:eastAsia="zh-CN"/>
        </w:rPr>
        <w:t>各种机床及辅助装置购置招标</w:t>
      </w:r>
      <w:r>
        <w:rPr>
          <w:rFonts w:hint="eastAsia" w:asciiTheme="minorEastAsia" w:hAnsiTheme="minorEastAsia" w:eastAsiaTheme="minorEastAsia" w:cstheme="minorEastAsia"/>
          <w:b w:val="0"/>
          <w:bCs w:val="0"/>
          <w:color w:val="auto"/>
          <w:kern w:val="0"/>
          <w:sz w:val="24"/>
          <w:szCs w:val="24"/>
          <w:lang w:val="en-US" w:eastAsia="zh-CN" w:bidi="ar"/>
        </w:rPr>
        <w:t xml:space="preserve">公告。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六、标段专业分类：</w:t>
      </w:r>
      <w:r>
        <w:rPr>
          <w:rFonts w:hint="eastAsia" w:asciiTheme="minorEastAsia" w:hAnsiTheme="minorEastAsia" w:eastAsiaTheme="minorEastAsia" w:cstheme="minorEastAsia"/>
          <w:b w:val="0"/>
          <w:bCs w:val="0"/>
          <w:color w:val="auto"/>
          <w:kern w:val="0"/>
          <w:sz w:val="24"/>
          <w:szCs w:val="24"/>
          <w:lang w:val="en-US" w:eastAsia="zh-CN" w:bidi="ar"/>
        </w:rPr>
        <w:t xml:space="preserve">机械设备类。 </w:t>
      </w:r>
    </w:p>
    <w:p>
      <w:pPr>
        <w:numPr>
          <w:ilvl w:val="0"/>
          <w:numId w:val="0"/>
        </w:numPr>
        <w:spacing w:line="440" w:lineRule="exact"/>
        <w:ind w:firstLine="482" w:firstLineChars="200"/>
        <w:jc w:val="left"/>
        <w:rPr>
          <w:rFonts w:hint="eastAsia" w:ascii="宋体" w:hAnsi="宋体"/>
          <w:sz w:val="24"/>
        </w:rPr>
      </w:pPr>
      <w:r>
        <w:rPr>
          <w:rFonts w:hint="eastAsia" w:asciiTheme="minorEastAsia" w:hAnsiTheme="minorEastAsia" w:eastAsiaTheme="minorEastAsia" w:cstheme="minorEastAsia"/>
          <w:b/>
          <w:bCs/>
          <w:color w:val="auto"/>
          <w:kern w:val="0"/>
          <w:sz w:val="24"/>
          <w:szCs w:val="24"/>
          <w:lang w:val="en-US" w:eastAsia="zh-CN" w:bidi="ar"/>
        </w:rPr>
        <w:t>七、标段内容：</w:t>
      </w:r>
      <w:r>
        <w:rPr>
          <w:rFonts w:hint="eastAsia" w:asciiTheme="minorEastAsia" w:hAnsiTheme="minorEastAsia" w:eastAsiaTheme="minorEastAsia" w:cstheme="minorEastAsia"/>
          <w:b w:val="0"/>
          <w:bCs w:val="0"/>
          <w:color w:val="auto"/>
          <w:kern w:val="0"/>
          <w:sz w:val="24"/>
          <w:szCs w:val="24"/>
          <w:lang w:val="en-US" w:eastAsia="zh-CN" w:bidi="ar"/>
        </w:rPr>
        <w:t>购置</w:t>
      </w:r>
      <w:r>
        <w:rPr>
          <w:rFonts w:hint="eastAsia" w:ascii="宋体" w:hAnsi="宋体" w:eastAsia="宋体" w:cs="宋体"/>
          <w:sz w:val="24"/>
          <w:szCs w:val="24"/>
          <w:lang w:val="en-US" w:eastAsia="zh-CN"/>
        </w:rPr>
        <w:t>1、</w:t>
      </w:r>
      <w:r>
        <w:rPr>
          <w:rFonts w:hint="eastAsia" w:ascii="宋体" w:hAnsi="宋体" w:eastAsia="宋体" w:cs="宋体"/>
          <w:i w:val="0"/>
          <w:iCs w:val="0"/>
          <w:color w:val="000000"/>
          <w:kern w:val="0"/>
          <w:sz w:val="24"/>
          <w:szCs w:val="24"/>
          <w:u w:val="none"/>
          <w:lang w:val="en-US" w:eastAsia="zh-CN" w:bidi="ar"/>
        </w:rPr>
        <w:t>精密数控车床1台；</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、普通数控车床1台；</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、铣床1台；</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、锯床1台；</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、走心机1台；6、摇臂钻1台；7）悬臂吊3个；8）外圆磨1台；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482" w:firstLineChars="20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八、投标人的资格能力要求：</w:t>
      </w: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1</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投标人为中华人民共和国境内正式注册并具有独立法人资格的法人或其他组织，具有独立签订合同的权利和良好履行合同能力的代理商</w:t>
      </w:r>
      <w:r>
        <w:rPr>
          <w:rFonts w:hint="eastAsia" w:asciiTheme="minorEastAsia" w:hAnsiTheme="minorEastAsia" w:cstheme="minorEastAsia"/>
          <w:b w:val="0"/>
          <w:bCs w:val="0"/>
          <w:color w:val="auto"/>
          <w:kern w:val="0"/>
          <w:sz w:val="24"/>
          <w:szCs w:val="24"/>
          <w:lang w:val="en-US" w:eastAsia="zh-CN" w:bidi="ar"/>
        </w:rPr>
        <w:t>，代理商必须提供相关设备的代理授权证书</w:t>
      </w: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2</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 xml:space="preserve">投标人具有良好的财务情况，须提供近三年（2018-2020年）经审计的财务报告，若成立不足三年的须提供自成立以来经审计的财务报告，若成立不足一年的提供基本账户开户行的资信证明。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3</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具有同类产品的相关业绩的制造厂家，提供至少</w:t>
      </w:r>
      <w:r>
        <w:rPr>
          <w:rFonts w:hint="eastAsia" w:asciiTheme="minorEastAsia" w:hAnsiTheme="minorEastAsia" w:cstheme="minorEastAsia"/>
          <w:b w:val="0"/>
          <w:bCs w:val="0"/>
          <w:color w:val="000000" w:themeColor="text1"/>
          <w:kern w:val="0"/>
          <w:sz w:val="24"/>
          <w:szCs w:val="24"/>
          <w:lang w:val="en-US" w:eastAsia="zh-CN" w:bidi="ar"/>
          <w14:textFill>
            <w14:solidFill>
              <w14:schemeClr w14:val="tx1"/>
            </w14:solidFill>
          </w14:textFill>
        </w:rPr>
        <w:t>3</w:t>
      </w: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项</w:t>
      </w:r>
      <w:r>
        <w:rPr>
          <w:rFonts w:hint="eastAsia" w:asciiTheme="minorEastAsia" w:hAnsiTheme="minorEastAsia" w:eastAsiaTheme="minorEastAsia" w:cstheme="minorEastAsia"/>
          <w:b w:val="0"/>
          <w:bCs w:val="0"/>
          <w:color w:val="auto"/>
          <w:kern w:val="0"/>
          <w:sz w:val="24"/>
          <w:szCs w:val="24"/>
          <w:lang w:val="en-US" w:eastAsia="zh-CN" w:bidi="ar"/>
        </w:rPr>
        <w:t xml:space="preserve">合同复印件（至少包括用户名称、备件清单、签字/盖章页等）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4</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 xml:space="preserve">单位负责人为同一人或存在控股、管理关系的不同单位，不得参加同一标段的投标或者未划分标段的同一招标项目投标。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5</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 xml:space="preserve">投标人未被“信用中国”网站（www.creditchina.gov.cn）列入失信被执行人名单，提供信用中国网站查询截图。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6</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 xml:space="preserve">本次招标不接受联合体投标。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 xml:space="preserve">九、技术要求：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cstheme="minorEastAsia"/>
          <w:b w:val="0"/>
          <w:bCs w:val="0"/>
          <w:color w:val="0000FF"/>
          <w:kern w:val="0"/>
          <w:sz w:val="24"/>
          <w:szCs w:val="24"/>
          <w:lang w:val="en-US" w:eastAsia="zh-CN" w:bidi="ar"/>
        </w:rPr>
      </w:pPr>
      <w:r>
        <w:rPr>
          <w:rFonts w:hint="eastAsia" w:asciiTheme="minorEastAsia" w:hAnsiTheme="minorEastAsia" w:eastAsiaTheme="minorEastAsia" w:cstheme="minorEastAsia"/>
          <w:b w:val="0"/>
          <w:bCs w:val="0"/>
          <w:color w:val="0000FF"/>
          <w:kern w:val="0"/>
          <w:sz w:val="24"/>
          <w:szCs w:val="24"/>
          <w:lang w:val="en-US" w:eastAsia="zh-CN" w:bidi="ar"/>
        </w:rPr>
        <w:t>1、</w:t>
      </w:r>
      <w:r>
        <w:rPr>
          <w:rFonts w:hint="eastAsia" w:asciiTheme="minorEastAsia" w:hAnsiTheme="minorEastAsia" w:cstheme="minorEastAsia"/>
          <w:b w:val="0"/>
          <w:bCs w:val="0"/>
          <w:color w:val="0000FF"/>
          <w:kern w:val="0"/>
          <w:sz w:val="24"/>
          <w:szCs w:val="24"/>
          <w:lang w:val="en-US" w:eastAsia="zh-CN" w:bidi="ar"/>
        </w:rPr>
        <w:t>精密数控车床：</w:t>
      </w:r>
    </w:p>
    <w:p>
      <w:pPr>
        <w:numPr>
          <w:ilvl w:val="0"/>
          <w:numId w:val="0"/>
        </w:numPr>
        <w:tabs>
          <w:tab w:val="left" w:pos="180"/>
        </w:tabs>
        <w:ind w:firstLine="420" w:firstLineChars="200"/>
        <w:rPr>
          <w:rFonts w:hint="eastAsia" w:ascii="宋体" w:hAnsi="宋体"/>
          <w:b w:val="0"/>
          <w:bCs/>
          <w:color w:val="000000"/>
          <w:sz w:val="21"/>
          <w:szCs w:val="21"/>
        </w:rPr>
      </w:pPr>
      <w:r>
        <w:rPr>
          <w:rFonts w:hint="eastAsia" w:ascii="宋体" w:hAnsi="宋体"/>
          <w:b w:val="0"/>
          <w:bCs/>
          <w:sz w:val="21"/>
          <w:szCs w:val="21"/>
        </w:rPr>
        <w:t>本机床所有零部件加工、装配成品质量符合产品图纸及相关技术要求，符合</w:t>
      </w:r>
      <w:r>
        <w:rPr>
          <w:rFonts w:ascii="宋体" w:hAnsi="宋体"/>
          <w:b w:val="0"/>
          <w:bCs/>
          <w:sz w:val="21"/>
          <w:szCs w:val="21"/>
        </w:rPr>
        <w:t>GB15760-</w:t>
      </w:r>
      <w:r>
        <w:rPr>
          <w:rFonts w:hint="eastAsia" w:ascii="宋体" w:hAnsi="宋体"/>
          <w:b w:val="0"/>
          <w:bCs/>
          <w:sz w:val="21"/>
          <w:szCs w:val="21"/>
        </w:rPr>
        <w:t>2004《金属切削机床安全防护通用技术条件》的有关规</w:t>
      </w:r>
      <w:r>
        <w:rPr>
          <w:rFonts w:hint="eastAsia" w:ascii="宋体" w:hAnsi="宋体"/>
          <w:b w:val="0"/>
          <w:bCs/>
          <w:color w:val="000000"/>
          <w:sz w:val="21"/>
          <w:szCs w:val="21"/>
        </w:rPr>
        <w:t>定，其精度标准符合ISO 230－1《机床检验通则》及ISO 13041-1《数控车床和车削中心检验条件》的有关规定。</w:t>
      </w:r>
    </w:p>
    <w:p>
      <w:pPr>
        <w:pStyle w:val="2"/>
        <w:rPr>
          <w:rFonts w:hint="eastAsia"/>
        </w:rPr>
      </w:pPr>
    </w:p>
    <w:p>
      <w:pPr>
        <w:pStyle w:val="2"/>
        <w:rPr>
          <w:rFonts w:hint="eastAsia"/>
          <w:lang w:val="en-US" w:eastAsia="zh-CN"/>
        </w:rPr>
      </w:pPr>
    </w:p>
    <w:tbl>
      <w:tblPr>
        <w:tblStyle w:val="5"/>
        <w:tblW w:w="0" w:type="auto"/>
        <w:tblInd w:w="4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7"/>
        <w:gridCol w:w="3083"/>
        <w:gridCol w:w="34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sz w:val="21"/>
                <w:szCs w:val="21"/>
              </w:rPr>
            </w:pPr>
            <w:r>
              <w:rPr>
                <w:rFonts w:hint="eastAsia" w:ascii="宋体" w:hAnsi="宋体"/>
                <w:sz w:val="21"/>
                <w:szCs w:val="21"/>
              </w:rPr>
              <w:t>加工范围、能力</w:t>
            </w: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最大回转直径</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hint="eastAsia" w:ascii="宋体" w:hAnsi="宋体"/>
                <w:sz w:val="21"/>
                <w:szCs w:val="21"/>
              </w:rPr>
              <w:t>660mm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最大加工直径</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hint="eastAsia" w:ascii="宋体" w:hAnsi="宋体"/>
                <w:sz w:val="21"/>
                <w:szCs w:val="21"/>
              </w:rPr>
              <w:t>3</w:t>
            </w:r>
            <w:r>
              <w:rPr>
                <w:rFonts w:ascii="宋体" w:hAnsi="宋体"/>
                <w:sz w:val="21"/>
                <w:szCs w:val="21"/>
              </w:rPr>
              <w:t>50</w:t>
            </w:r>
            <w:r>
              <w:rPr>
                <w:rFonts w:hint="eastAsia" w:ascii="宋体" w:hAnsi="宋体"/>
                <w:sz w:val="21"/>
                <w:szCs w:val="21"/>
              </w:rPr>
              <w:t>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sz w:val="21"/>
                <w:szCs w:val="21"/>
              </w:rPr>
            </w:pPr>
            <w:r>
              <w:rPr>
                <w:rFonts w:hint="eastAsia" w:ascii="宋体" w:hAnsi="宋体"/>
                <w:sz w:val="21"/>
                <w:szCs w:val="21"/>
              </w:rPr>
              <w:t>行程</w:t>
            </w: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ascii="宋体" w:hAnsi="宋体"/>
                <w:sz w:val="21"/>
                <w:szCs w:val="21"/>
              </w:rPr>
              <w:t>X</w:t>
            </w:r>
            <w:r>
              <w:rPr>
                <w:rFonts w:hint="eastAsia" w:ascii="宋体" w:hAnsi="宋体"/>
                <w:sz w:val="21"/>
                <w:szCs w:val="21"/>
              </w:rPr>
              <w:t>轴行程</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195</w:t>
            </w:r>
            <w:r>
              <w:rPr>
                <w:rFonts w:hint="eastAsia" w:ascii="宋体" w:hAnsi="宋体"/>
                <w:sz w:val="21"/>
                <w:szCs w:val="21"/>
              </w:rPr>
              <w:t>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Z轴行程</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1105</w:t>
            </w:r>
            <w:r>
              <w:rPr>
                <w:rFonts w:hint="eastAsia" w:ascii="宋体" w:hAnsi="宋体"/>
                <w:sz w:val="21"/>
                <w:szCs w:val="21"/>
              </w:rPr>
              <w:t>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sz w:val="21"/>
                <w:szCs w:val="21"/>
              </w:rPr>
            </w:pPr>
            <w:r>
              <w:rPr>
                <w:rFonts w:hint="eastAsia" w:ascii="宋体" w:hAnsi="宋体"/>
                <w:sz w:val="21"/>
                <w:szCs w:val="21"/>
              </w:rPr>
              <w:t>主轴</w:t>
            </w: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输出功率（30</w:t>
            </w:r>
            <w:r>
              <w:rPr>
                <w:rFonts w:ascii="宋体" w:hAnsi="宋体"/>
                <w:sz w:val="21"/>
                <w:szCs w:val="21"/>
              </w:rPr>
              <w:t>min/</w:t>
            </w:r>
            <w:r>
              <w:rPr>
                <w:rFonts w:hint="eastAsia" w:ascii="宋体" w:hAnsi="宋体"/>
                <w:sz w:val="21"/>
                <w:szCs w:val="21"/>
              </w:rPr>
              <w:t>连续）</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15k</w:t>
            </w:r>
            <w:r>
              <w:rPr>
                <w:rFonts w:hint="eastAsia" w:ascii="宋体" w:hAnsi="宋体"/>
                <w:sz w:val="21"/>
                <w:szCs w:val="21"/>
              </w:rPr>
              <w:t>W/</w:t>
            </w:r>
            <w:r>
              <w:rPr>
                <w:rFonts w:ascii="宋体" w:hAnsi="宋体"/>
                <w:sz w:val="21"/>
                <w:szCs w:val="21"/>
              </w:rPr>
              <w:t>11</w:t>
            </w:r>
            <w:r>
              <w:rPr>
                <w:rFonts w:hint="eastAsia" w:ascii="宋体" w:hAnsi="宋体"/>
                <w:sz w:val="21"/>
                <w:szCs w:val="21"/>
              </w:rPr>
              <w:t>kW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主轴最高转速</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50</w:t>
            </w:r>
            <w:r>
              <w:rPr>
                <w:rFonts w:hint="eastAsia" w:ascii="宋体" w:hAnsi="宋体"/>
                <w:sz w:val="21"/>
                <w:szCs w:val="21"/>
              </w:rPr>
              <w:t>00</w:t>
            </w:r>
            <w:r>
              <w:rPr>
                <w:rFonts w:ascii="宋体" w:hAnsi="宋体"/>
                <w:sz w:val="21"/>
                <w:szCs w:val="21"/>
              </w:rPr>
              <w:t>rpm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卡盘</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hint="eastAsia" w:ascii="宋体" w:hAnsi="宋体" w:eastAsiaTheme="minorEastAsia"/>
                <w:sz w:val="21"/>
                <w:szCs w:val="21"/>
                <w:lang w:eastAsia="zh-CN"/>
              </w:rPr>
            </w:pPr>
            <w:r>
              <w:rPr>
                <w:rFonts w:ascii="宋体" w:hAnsi="宋体"/>
                <w:sz w:val="21"/>
                <w:szCs w:val="21"/>
              </w:rPr>
              <w:t>8</w:t>
            </w:r>
            <w:r>
              <w:rPr>
                <w:rFonts w:hint="eastAsia" w:ascii="宋体" w:hAnsi="宋体"/>
                <w:sz w:val="21"/>
                <w:szCs w:val="21"/>
              </w:rPr>
              <w:t>寸中</w:t>
            </w:r>
            <w:r>
              <w:rPr>
                <w:rFonts w:hint="eastAsia" w:ascii="宋体" w:hAnsi="宋体"/>
                <w:sz w:val="21"/>
                <w:szCs w:val="21"/>
                <w:lang w:eastAsia="zh-CN"/>
              </w:rPr>
              <w:t>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 xml:space="preserve">主轴通孔直径 </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76mm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刀具容量</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12把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刀具分度时间</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0.</w:t>
            </w:r>
            <w:r>
              <w:rPr>
                <w:rFonts w:hint="eastAsia" w:ascii="宋体" w:hAnsi="宋体"/>
                <w:sz w:val="21"/>
                <w:szCs w:val="21"/>
              </w:rPr>
              <w:t>25秒</w:t>
            </w:r>
            <w:r>
              <w:rPr>
                <w:rFonts w:ascii="宋体" w:hAnsi="宋体"/>
                <w:sz w:val="21"/>
                <w:szCs w:val="21"/>
              </w:rPr>
              <w:t>/</w:t>
            </w:r>
            <w:r>
              <w:rPr>
                <w:rFonts w:hint="eastAsia" w:ascii="宋体" w:hAnsi="宋体"/>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最大镗刀直径</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hint="eastAsia" w:ascii="宋体" w:hAnsi="宋体"/>
                <w:sz w:val="21"/>
                <w:szCs w:val="21"/>
              </w:rPr>
              <w:t>40mm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sz w:val="21"/>
                <w:szCs w:val="21"/>
              </w:rPr>
            </w:pPr>
          </w:p>
          <w:p>
            <w:pPr>
              <w:widowControl/>
              <w:jc w:val="left"/>
              <w:rPr>
                <w:rFonts w:ascii="宋体" w:hAnsi="宋体"/>
                <w:sz w:val="21"/>
                <w:szCs w:val="21"/>
              </w:rPr>
            </w:pPr>
            <w:r>
              <w:rPr>
                <w:rFonts w:hint="eastAsia" w:ascii="宋体" w:hAnsi="宋体"/>
                <w:sz w:val="21"/>
                <w:szCs w:val="21"/>
              </w:rPr>
              <w:t>进给</w:t>
            </w: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ascii="宋体" w:hAnsi="宋体"/>
                <w:sz w:val="21"/>
                <w:szCs w:val="21"/>
              </w:rPr>
              <w:t>X</w:t>
            </w:r>
            <w:r>
              <w:rPr>
                <w:rFonts w:hint="eastAsia" w:ascii="宋体" w:hAnsi="宋体"/>
                <w:sz w:val="21"/>
                <w:szCs w:val="21"/>
              </w:rPr>
              <w:t>轴快进速度</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3</w:t>
            </w:r>
            <w:r>
              <w:rPr>
                <w:rFonts w:hint="eastAsia" w:ascii="宋体" w:hAnsi="宋体"/>
                <w:sz w:val="21"/>
                <w:szCs w:val="21"/>
              </w:rPr>
              <w:t>0</w:t>
            </w:r>
            <w:r>
              <w:rPr>
                <w:rFonts w:ascii="宋体" w:hAnsi="宋体"/>
                <w:sz w:val="21"/>
                <w:szCs w:val="21"/>
              </w:rPr>
              <w:t>000mm/min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ascii="宋体" w:hAnsi="宋体"/>
                <w:sz w:val="21"/>
                <w:szCs w:val="21"/>
              </w:rPr>
              <w:t>Z</w:t>
            </w:r>
            <w:r>
              <w:rPr>
                <w:rFonts w:hint="eastAsia" w:ascii="宋体" w:hAnsi="宋体"/>
                <w:sz w:val="21"/>
                <w:szCs w:val="21"/>
              </w:rPr>
              <w:t>轴快进速度</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3</w:t>
            </w:r>
            <w:r>
              <w:rPr>
                <w:rFonts w:hint="eastAsia" w:ascii="宋体" w:hAnsi="宋体"/>
                <w:sz w:val="21"/>
                <w:szCs w:val="21"/>
              </w:rPr>
              <w:t>3</w:t>
            </w:r>
            <w:r>
              <w:rPr>
                <w:rFonts w:ascii="宋体" w:hAnsi="宋体"/>
                <w:sz w:val="21"/>
                <w:szCs w:val="21"/>
              </w:rPr>
              <w:t>000mm/min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sz w:val="21"/>
                <w:szCs w:val="21"/>
              </w:rPr>
            </w:pPr>
            <w:r>
              <w:rPr>
                <w:rFonts w:hint="eastAsia" w:ascii="宋体" w:hAnsi="宋体"/>
                <w:sz w:val="21"/>
                <w:szCs w:val="21"/>
              </w:rPr>
              <w:t>尾座</w:t>
            </w: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rPr>
              <w:t>尾座行程</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sz w:val="21"/>
                <w:szCs w:val="21"/>
              </w:rPr>
            </w:pPr>
            <w:r>
              <w:rPr>
                <w:rFonts w:hint="eastAsia" w:ascii="宋体" w:hAnsi="宋体"/>
                <w:sz w:val="21"/>
                <w:szCs w:val="21"/>
                <w:lang w:eastAsia="zh-CN"/>
              </w:rPr>
              <w:t>≥</w:t>
            </w:r>
            <w:r>
              <w:rPr>
                <w:rFonts w:ascii="宋体" w:hAnsi="宋体"/>
                <w:sz w:val="21"/>
                <w:szCs w:val="21"/>
              </w:rPr>
              <w:t>1075</w:t>
            </w:r>
            <w:r>
              <w:rPr>
                <w:rFonts w:hint="eastAsia" w:ascii="宋体" w:hAnsi="宋体"/>
                <w:sz w:val="21"/>
                <w:szCs w:val="21"/>
              </w:rPr>
              <w:t>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sz w:val="21"/>
                <w:szCs w:val="21"/>
              </w:rPr>
            </w:pPr>
          </w:p>
        </w:tc>
        <w:tc>
          <w:tcPr>
            <w:tcW w:w="3083"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color w:val="000000"/>
                <w:sz w:val="21"/>
                <w:szCs w:val="21"/>
              </w:rPr>
            </w:pPr>
            <w:r>
              <w:rPr>
                <w:rFonts w:hint="eastAsia" w:ascii="宋体" w:hAnsi="宋体"/>
                <w:color w:val="000000"/>
                <w:sz w:val="21"/>
                <w:szCs w:val="21"/>
              </w:rPr>
              <w:t>顶尖</w:t>
            </w:r>
          </w:p>
        </w:tc>
        <w:tc>
          <w:tcPr>
            <w:tcW w:w="3414" w:type="dxa"/>
            <w:tcBorders>
              <w:top w:val="single" w:color="000000" w:sz="4" w:space="0"/>
              <w:left w:val="single" w:color="000000" w:sz="4" w:space="0"/>
              <w:bottom w:val="single" w:color="000000" w:sz="4" w:space="0"/>
              <w:right w:val="single" w:color="000000" w:sz="4" w:space="0"/>
            </w:tcBorders>
          </w:tcPr>
          <w:p>
            <w:pPr>
              <w:pStyle w:val="2"/>
              <w:ind w:firstLine="0" w:firstLineChars="0"/>
              <w:rPr>
                <w:rFonts w:ascii="宋体" w:hAnsi="宋体"/>
                <w:color w:val="000000"/>
                <w:sz w:val="21"/>
                <w:szCs w:val="21"/>
              </w:rPr>
            </w:pPr>
            <w:r>
              <w:rPr>
                <w:rFonts w:hint="eastAsia" w:ascii="宋体" w:hAnsi="宋体"/>
                <w:color w:val="000000"/>
                <w:sz w:val="21"/>
                <w:szCs w:val="21"/>
              </w:rPr>
              <w:t>MT</w:t>
            </w:r>
            <w:r>
              <w:rPr>
                <w:rFonts w:ascii="宋体" w:hAnsi="宋体"/>
                <w:color w:val="000000"/>
                <w:sz w:val="21"/>
                <w:szCs w:val="21"/>
              </w:rPr>
              <w:t>.</w:t>
            </w:r>
            <w:r>
              <w:rPr>
                <w:rFonts w:hint="eastAsia" w:ascii="宋体" w:hAnsi="宋体"/>
                <w:color w:val="000000"/>
                <w:sz w:val="21"/>
                <w:szCs w:val="21"/>
              </w:rPr>
              <w:t>4（</w:t>
            </w:r>
            <w:r>
              <w:rPr>
                <w:rFonts w:hint="eastAsia" w:ascii="宋体" w:hAnsi="宋体"/>
                <w:color w:val="000000"/>
                <w:sz w:val="21"/>
                <w:szCs w:val="21"/>
                <w:lang w:eastAsia="zh-CN"/>
              </w:rPr>
              <w:t>活</w:t>
            </w:r>
            <w:r>
              <w:rPr>
                <w:rFonts w:hint="eastAsia" w:ascii="宋体" w:hAnsi="宋体"/>
                <w:color w:val="000000"/>
                <w:sz w:val="21"/>
                <w:szCs w:val="21"/>
              </w:rPr>
              <w:t>顶尖）</w:t>
            </w:r>
          </w:p>
        </w:tc>
      </w:tr>
    </w:tbl>
    <w:p>
      <w:pPr>
        <w:pStyle w:val="2"/>
        <w:rPr>
          <w:rFonts w:hint="eastAsia"/>
          <w:lang w:val="en-US" w:eastAsia="zh-CN"/>
        </w:rPr>
      </w:pPr>
    </w:p>
    <w:p>
      <w:pPr>
        <w:pStyle w:val="2"/>
        <w:ind w:firstLine="0" w:firstLineChars="0"/>
        <w:rPr>
          <w:rFonts w:ascii="宋体" w:hAnsi="宋体"/>
          <w:bCs/>
          <w:color w:val="000000"/>
          <w:sz w:val="21"/>
          <w:szCs w:val="21"/>
        </w:rPr>
      </w:pPr>
      <w:r>
        <w:rPr>
          <w:rFonts w:hint="eastAsia" w:ascii="宋体" w:hAnsi="宋体"/>
          <w:b/>
          <w:bCs/>
          <w:sz w:val="21"/>
          <w:szCs w:val="21"/>
        </w:rPr>
        <w:t>主轴：</w:t>
      </w:r>
      <w:r>
        <w:rPr>
          <w:rFonts w:hint="eastAsia" w:ascii="宋体" w:hAnsi="宋体"/>
          <w:bCs/>
          <w:sz w:val="21"/>
          <w:szCs w:val="21"/>
        </w:rPr>
        <w:t>主轴采用大功率、大扭矩、高速、高精度内置电主轴结构，可以满足从小直径工件的高速精密加工到中高速区域上有色金属及钢材和铸件的高速切削的广域额定输出，能确保</w:t>
      </w:r>
      <w:r>
        <w:rPr>
          <w:rFonts w:ascii="ˎ̥" w:hAnsi="ˎ̥"/>
          <w:color w:val="000000"/>
          <w:sz w:val="21"/>
          <w:szCs w:val="21"/>
        </w:rPr>
        <w:t>良好的加工精度</w:t>
      </w:r>
      <w:r>
        <w:rPr>
          <w:rFonts w:hint="eastAsia" w:ascii="ˎ̥" w:hAnsi="ˎ̥"/>
          <w:color w:val="000000"/>
          <w:sz w:val="21"/>
          <w:szCs w:val="21"/>
        </w:rPr>
        <w:t>和效率。</w:t>
      </w:r>
    </w:p>
    <w:p>
      <w:pPr>
        <w:pStyle w:val="2"/>
        <w:ind w:firstLine="0" w:firstLineChars="0"/>
        <w:rPr>
          <w:rFonts w:ascii="宋体" w:hAnsi="宋体"/>
          <w:bCs/>
          <w:sz w:val="21"/>
          <w:szCs w:val="21"/>
        </w:rPr>
      </w:pPr>
      <w:r>
        <w:rPr>
          <w:rFonts w:hint="eastAsia" w:ascii="宋体" w:hAnsi="宋体"/>
          <w:b/>
          <w:bCs/>
          <w:sz w:val="21"/>
          <w:szCs w:val="21"/>
        </w:rPr>
        <w:t>刀塔：</w:t>
      </w:r>
      <w:r>
        <w:rPr>
          <w:rFonts w:hint="eastAsia" w:ascii="宋体" w:hAnsi="宋体"/>
          <w:bCs/>
          <w:sz w:val="21"/>
          <w:szCs w:val="21"/>
        </w:rPr>
        <w:t>采用无抬升结构刀塔，伺服电机分度、鼠牙盘精确定位、液压锁紧方式，保证了换刀的速度和交换精度及刚性。</w:t>
      </w:r>
    </w:p>
    <w:p>
      <w:pPr>
        <w:pStyle w:val="2"/>
        <w:ind w:firstLine="0" w:firstLineChars="0"/>
        <w:rPr>
          <w:rFonts w:ascii="宋体" w:hAnsi="宋体"/>
          <w:bCs/>
          <w:sz w:val="21"/>
          <w:szCs w:val="21"/>
        </w:rPr>
      </w:pPr>
      <w:r>
        <w:rPr>
          <w:rFonts w:hint="eastAsia" w:ascii="宋体" w:hAnsi="宋体"/>
          <w:b/>
          <w:bCs/>
          <w:sz w:val="21"/>
          <w:szCs w:val="21"/>
        </w:rPr>
        <w:t>尾座：</w:t>
      </w:r>
      <w:r>
        <w:rPr>
          <w:rFonts w:hint="eastAsia" w:ascii="宋体" w:hAnsi="宋体"/>
          <w:bCs/>
          <w:sz w:val="21"/>
          <w:szCs w:val="21"/>
        </w:rPr>
        <w:t>NC尾座能够依据程序指令对推力做无级调整，从粗加工开始到精加工结束都能始终提供合适的推力来实现连续加工。</w:t>
      </w:r>
    </w:p>
    <w:p>
      <w:pPr>
        <w:pStyle w:val="2"/>
        <w:ind w:firstLine="0" w:firstLineChars="0"/>
        <w:rPr>
          <w:rFonts w:ascii="宋体" w:hAnsi="宋体"/>
          <w:bCs/>
          <w:sz w:val="21"/>
          <w:szCs w:val="21"/>
        </w:rPr>
      </w:pPr>
      <w:r>
        <w:rPr>
          <w:rFonts w:hint="eastAsia" w:ascii="宋体" w:hAnsi="宋体"/>
          <w:b/>
          <w:sz w:val="21"/>
          <w:szCs w:val="21"/>
        </w:rPr>
        <w:t>全轴采用滚柱导轨：</w:t>
      </w:r>
      <w:r>
        <w:rPr>
          <w:rFonts w:hint="eastAsia" w:ascii="宋体" w:hAnsi="宋体"/>
          <w:bCs/>
          <w:sz w:val="21"/>
          <w:szCs w:val="21"/>
        </w:rPr>
        <w:t>通过采用滚柱导轨，在实现高刚性、高速性、耐久性、长寿命的同时保证了重复高速定位，从而带来长期高可靠性的加工和免维护运行。</w:t>
      </w:r>
    </w:p>
    <w:p>
      <w:pPr>
        <w:spacing w:line="360" w:lineRule="exact"/>
        <w:rPr>
          <w:rFonts w:ascii="宋体" w:hAnsi="宋体"/>
          <w:b/>
          <w:bCs/>
          <w:sz w:val="21"/>
          <w:szCs w:val="21"/>
        </w:rPr>
      </w:pPr>
      <w:r>
        <w:rPr>
          <w:rFonts w:hint="eastAsia" w:ascii="宋体" w:hAnsi="宋体"/>
          <w:b/>
          <w:bCs/>
          <w:sz w:val="21"/>
          <w:szCs w:val="21"/>
        </w:rPr>
        <w:t>节能、环保方面：</w:t>
      </w:r>
    </w:p>
    <w:p>
      <w:pPr>
        <w:pStyle w:val="2"/>
        <w:numPr>
          <w:ilvl w:val="0"/>
          <w:numId w:val="2"/>
        </w:numPr>
        <w:tabs>
          <w:tab w:val="left" w:pos="426"/>
        </w:tabs>
        <w:ind w:left="0" w:firstLine="0" w:firstLineChars="0"/>
        <w:rPr>
          <w:rFonts w:hAnsi="宋体"/>
          <w:sz w:val="21"/>
          <w:szCs w:val="21"/>
        </w:rPr>
      </w:pPr>
      <w:r>
        <w:rPr>
          <w:rFonts w:hint="eastAsia"/>
          <w:sz w:val="21"/>
          <w:szCs w:val="21"/>
        </w:rPr>
        <w:t>全封闭结构防护罩避免了切屑和烟尘的外溢，不会对工作环境造成污染。</w:t>
      </w:r>
    </w:p>
    <w:p>
      <w:pPr>
        <w:pStyle w:val="2"/>
        <w:numPr>
          <w:ilvl w:val="0"/>
          <w:numId w:val="2"/>
        </w:numPr>
        <w:tabs>
          <w:tab w:val="left" w:pos="426"/>
        </w:tabs>
        <w:ind w:left="0" w:firstLine="0" w:firstLineChars="0"/>
        <w:rPr>
          <w:rFonts w:hAnsi="宋体"/>
          <w:sz w:val="21"/>
          <w:szCs w:val="21"/>
        </w:rPr>
      </w:pPr>
      <w:r>
        <w:rPr>
          <w:rFonts w:hint="eastAsia" w:hAnsi="宋体"/>
          <w:sz w:val="21"/>
          <w:szCs w:val="21"/>
        </w:rPr>
        <w:t>采用高寿命LED照明灯。</w:t>
      </w:r>
    </w:p>
    <w:p>
      <w:pPr>
        <w:pStyle w:val="2"/>
        <w:numPr>
          <w:ilvl w:val="0"/>
          <w:numId w:val="2"/>
        </w:numPr>
        <w:tabs>
          <w:tab w:val="left" w:pos="426"/>
        </w:tabs>
        <w:ind w:left="0" w:firstLine="0" w:firstLineChars="0"/>
        <w:rPr>
          <w:rFonts w:hAnsi="宋体"/>
          <w:sz w:val="21"/>
          <w:szCs w:val="21"/>
        </w:rPr>
      </w:pPr>
      <w:r>
        <w:rPr>
          <w:rFonts w:hint="eastAsia" w:hAnsi="宋体"/>
          <w:sz w:val="21"/>
          <w:szCs w:val="21"/>
        </w:rPr>
        <w:t>待机一段时间后，机床将自动关闭照明灯、自动停止排屑器的运转，减少整机电力消耗。</w:t>
      </w:r>
    </w:p>
    <w:p>
      <w:pPr>
        <w:ind w:firstLine="2" w:firstLineChars="1"/>
        <w:rPr>
          <w:rFonts w:ascii="宋体" w:hAnsi="宋体"/>
          <w:bCs/>
          <w:sz w:val="21"/>
          <w:szCs w:val="21"/>
        </w:rPr>
      </w:pPr>
      <w:r>
        <w:rPr>
          <w:rFonts w:hint="eastAsia" w:ascii="宋体" w:hAnsi="宋体"/>
          <w:b/>
          <w:sz w:val="21"/>
          <w:szCs w:val="21"/>
        </w:rPr>
        <w:t>系统配置:</w:t>
      </w:r>
      <w:r>
        <w:rPr>
          <w:rFonts w:hint="eastAsia" w:ascii="宋体" w:hAnsi="宋体"/>
          <w:sz w:val="21"/>
          <w:szCs w:val="21"/>
        </w:rPr>
        <w:t xml:space="preserve"> 机床控制系统采用</w:t>
      </w:r>
      <w:r>
        <w:rPr>
          <w:rFonts w:hint="eastAsia" w:ascii="宋体" w:hAnsi="宋体"/>
          <w:sz w:val="21"/>
          <w:szCs w:val="21"/>
          <w:lang w:eastAsia="zh-CN"/>
        </w:rPr>
        <w:t>马扎克或</w:t>
      </w:r>
      <w:r>
        <w:rPr>
          <w:color w:val="auto"/>
          <w:shd w:val="clear" w:color="auto" w:fill="auto"/>
        </w:rPr>
        <w:t>Fanuc</w:t>
      </w:r>
      <w:r>
        <w:rPr>
          <w:rFonts w:hint="eastAsia" w:ascii="宋体" w:hAnsi="宋体"/>
          <w:sz w:val="21"/>
          <w:szCs w:val="21"/>
        </w:rPr>
        <w:t>数控系统，该数控系统通过硬件能力、软件能力的提升，使得机床操作更加方便、更加安全、加工精度更加稳定、加工效率更加提升。</w:t>
      </w:r>
    </w:p>
    <w:p>
      <w:pPr>
        <w:pStyle w:val="2"/>
        <w:numPr>
          <w:ilvl w:val="0"/>
          <w:numId w:val="0"/>
        </w:numPr>
        <w:ind w:firstLine="480" w:firstLineChars="200"/>
        <w:rPr>
          <w:rFonts w:hint="eastAsia"/>
          <w:lang w:val="en-US" w:eastAsia="zh-CN"/>
        </w:rPr>
      </w:pPr>
      <w:r>
        <w:rPr>
          <w:rFonts w:hint="eastAsia"/>
          <w:lang w:val="en-US" w:eastAsia="zh-CN"/>
        </w:rPr>
        <w:t>精度要求：</w:t>
      </w:r>
    </w:p>
    <w:p>
      <w:pPr>
        <w:pStyle w:val="2"/>
        <w:numPr>
          <w:ilvl w:val="0"/>
          <w:numId w:val="3"/>
        </w:numPr>
        <w:ind w:firstLine="480" w:firstLineChars="200"/>
        <w:rPr>
          <w:rFonts w:hint="eastAsia"/>
          <w:lang w:val="en-US" w:eastAsia="zh-CN"/>
        </w:rPr>
      </w:pPr>
      <w:r>
        <w:rPr>
          <w:rFonts w:hint="eastAsia"/>
          <w:lang w:val="en-US" w:eastAsia="zh-CN"/>
        </w:rPr>
        <w:t xml:space="preserve">.采用15KW高精度电主轴 </w:t>
      </w:r>
    </w:p>
    <w:p>
      <w:pPr>
        <w:pStyle w:val="2"/>
        <w:numPr>
          <w:ilvl w:val="0"/>
          <w:numId w:val="3"/>
        </w:numPr>
        <w:ind w:firstLine="480" w:firstLineChars="200"/>
        <w:rPr>
          <w:rFonts w:hint="eastAsia"/>
          <w:lang w:val="en-US" w:eastAsia="zh-CN"/>
        </w:rPr>
      </w:pPr>
      <w:r>
        <w:rPr>
          <w:rFonts w:hint="eastAsia"/>
          <w:lang w:val="en-US" w:eastAsia="zh-CN"/>
        </w:rPr>
        <w:t>机床精度检测执行标准：ISO230/2-1997</w:t>
      </w:r>
    </w:p>
    <w:p>
      <w:pPr>
        <w:pStyle w:val="2"/>
        <w:numPr>
          <w:ilvl w:val="0"/>
          <w:numId w:val="3"/>
        </w:numPr>
        <w:ind w:firstLine="480" w:firstLineChars="200"/>
        <w:rPr>
          <w:rFonts w:hint="eastAsia"/>
          <w:lang w:val="en-US" w:eastAsia="zh-CN"/>
        </w:rPr>
      </w:pPr>
      <w:r>
        <w:rPr>
          <w:rFonts w:hint="eastAsia"/>
          <w:lang w:val="en-US" w:eastAsia="zh-CN"/>
        </w:rPr>
        <w:t>定位精度（ISO 标准）X≤0.01mm，Z≤0.01mm</w:t>
      </w:r>
    </w:p>
    <w:p>
      <w:pPr>
        <w:pStyle w:val="2"/>
        <w:numPr>
          <w:ilvl w:val="0"/>
          <w:numId w:val="3"/>
        </w:numPr>
        <w:ind w:firstLine="480" w:firstLineChars="200"/>
        <w:rPr>
          <w:rFonts w:hint="eastAsia"/>
          <w:lang w:val="en-US" w:eastAsia="zh-CN"/>
        </w:rPr>
      </w:pPr>
      <w:r>
        <w:rPr>
          <w:rFonts w:hint="eastAsia"/>
          <w:lang w:val="en-US" w:eastAsia="zh-CN"/>
        </w:rPr>
        <w:t>机床重复定位精度（ISO 标准）X/Z＜0.005mm</w:t>
      </w:r>
    </w:p>
    <w:p>
      <w:pPr>
        <w:pStyle w:val="2"/>
        <w:numPr>
          <w:ilvl w:val="0"/>
          <w:numId w:val="3"/>
        </w:numPr>
        <w:ind w:firstLine="480" w:firstLineChars="200"/>
        <w:rPr>
          <w:rFonts w:hint="eastAsia"/>
          <w:lang w:val="en-US" w:eastAsia="zh-CN"/>
        </w:rPr>
      </w:pPr>
      <w:r>
        <w:rPr>
          <w:rFonts w:hint="eastAsia"/>
          <w:lang w:val="en-US" w:eastAsia="zh-CN"/>
        </w:rPr>
        <w:t>刀塔回转精度≤0.002mm</w:t>
      </w:r>
    </w:p>
    <w:p>
      <w:pPr>
        <w:pStyle w:val="2"/>
        <w:numPr>
          <w:ilvl w:val="0"/>
          <w:numId w:val="3"/>
        </w:numPr>
        <w:ind w:firstLine="480" w:firstLineChars="200"/>
        <w:rPr>
          <w:rFonts w:hint="eastAsia"/>
          <w:lang w:val="en-US" w:eastAsia="zh-CN"/>
        </w:rPr>
      </w:pPr>
      <w:r>
        <w:rPr>
          <w:rFonts w:hint="eastAsia"/>
          <w:lang w:val="en-US" w:eastAsia="zh-CN"/>
        </w:rPr>
        <w:t>主轴径跳≤0.003mm</w:t>
      </w:r>
    </w:p>
    <w:p>
      <w:pPr>
        <w:pStyle w:val="2"/>
        <w:numPr>
          <w:ilvl w:val="0"/>
          <w:numId w:val="3"/>
        </w:numPr>
        <w:ind w:firstLine="480" w:firstLineChars="200"/>
        <w:rPr>
          <w:rFonts w:hint="eastAsia"/>
          <w:lang w:val="en-US" w:eastAsia="zh-CN"/>
        </w:rPr>
      </w:pPr>
      <w:r>
        <w:rPr>
          <w:rFonts w:hint="eastAsia"/>
          <w:lang w:val="en-US" w:eastAsia="zh-CN"/>
        </w:rPr>
        <w:t>主轴端跳≤0.003mm</w:t>
      </w:r>
    </w:p>
    <w:p>
      <w:pPr>
        <w:pStyle w:val="2"/>
        <w:numPr>
          <w:ilvl w:val="0"/>
          <w:numId w:val="3"/>
        </w:numPr>
        <w:ind w:firstLine="480" w:firstLineChars="200"/>
        <w:rPr>
          <w:rFonts w:hint="eastAsia"/>
          <w:lang w:val="en-US" w:eastAsia="zh-CN"/>
        </w:rPr>
      </w:pPr>
      <w:r>
        <w:rPr>
          <w:rFonts w:hint="eastAsia"/>
          <w:lang w:val="en-US" w:eastAsia="zh-CN"/>
        </w:rPr>
        <w:t>系统具备人机对话功能</w:t>
      </w:r>
    </w:p>
    <w:p>
      <w:pPr>
        <w:pStyle w:val="2"/>
        <w:numPr>
          <w:ilvl w:val="0"/>
          <w:numId w:val="3"/>
        </w:numPr>
        <w:ind w:firstLine="480" w:firstLineChars="200"/>
        <w:rPr>
          <w:rFonts w:hint="eastAsia"/>
          <w:lang w:val="en-US" w:eastAsia="zh-CN"/>
        </w:rPr>
      </w:pPr>
      <w:r>
        <w:rPr>
          <w:rFonts w:hint="eastAsia"/>
          <w:lang w:val="en-US" w:eastAsia="zh-CN"/>
        </w:rPr>
        <w:t>配备伺服可编程尾座</w:t>
      </w:r>
    </w:p>
    <w:p>
      <w:pPr>
        <w:pStyle w:val="2"/>
        <w:numPr>
          <w:ilvl w:val="0"/>
          <w:numId w:val="4"/>
        </w:numPr>
        <w:rPr>
          <w:rFonts w:hint="eastAsia"/>
          <w:color w:val="0000FF"/>
          <w:lang w:val="en-US" w:eastAsia="zh-CN"/>
        </w:rPr>
      </w:pPr>
      <w:r>
        <w:rPr>
          <w:rFonts w:hint="eastAsia"/>
          <w:color w:val="0000FF"/>
          <w:lang w:val="en-US" w:eastAsia="zh-CN"/>
        </w:rPr>
        <w:t>普通数控车床</w:t>
      </w:r>
    </w:p>
    <w:p>
      <w:pPr>
        <w:ind w:firstLine="2" w:firstLineChars="1"/>
        <w:rPr>
          <w:rFonts w:hint="eastAsia" w:ascii="宋体" w:hAnsi="宋体"/>
          <w:sz w:val="21"/>
          <w:szCs w:val="21"/>
        </w:rPr>
      </w:pPr>
      <w:r>
        <w:rPr>
          <w:rFonts w:hint="eastAsia" w:ascii="宋体" w:hAnsi="宋体"/>
          <w:b/>
          <w:sz w:val="21"/>
          <w:szCs w:val="21"/>
        </w:rPr>
        <w:t>系统配置:</w:t>
      </w:r>
      <w:r>
        <w:rPr>
          <w:rFonts w:hint="eastAsia" w:ascii="宋体" w:hAnsi="宋体"/>
          <w:sz w:val="21"/>
          <w:szCs w:val="21"/>
        </w:rPr>
        <w:t xml:space="preserve"> 机床控制系统采用</w:t>
      </w:r>
      <w:r>
        <w:rPr>
          <w:color w:val="auto"/>
          <w:shd w:val="clear" w:color="auto" w:fill="auto"/>
        </w:rPr>
        <w:t>Fanuc</w:t>
      </w:r>
      <w:r>
        <w:rPr>
          <w:rFonts w:hint="eastAsia"/>
          <w:color w:val="auto"/>
          <w:shd w:val="clear" w:color="auto" w:fill="auto"/>
          <w:lang w:eastAsia="zh-CN"/>
        </w:rPr>
        <w:t>或广数</w:t>
      </w:r>
      <w:r>
        <w:rPr>
          <w:rFonts w:hint="eastAsia" w:ascii="宋体" w:hAnsi="宋体"/>
          <w:sz w:val="21"/>
          <w:szCs w:val="21"/>
        </w:rPr>
        <w:t>数控系统，该数控系统通过硬件能力、软件能力的提升，使得机床操作更加方便、更加安全、加工精度更加稳定、加工效率更加提升。</w:t>
      </w:r>
    </w:p>
    <w:p>
      <w:pPr>
        <w:numPr>
          <w:ilvl w:val="0"/>
          <w:numId w:val="5"/>
        </w:numPr>
        <w:rPr>
          <w:shd w:val="clear" w:color="auto" w:fill="auto"/>
        </w:rPr>
      </w:pPr>
      <w:r>
        <w:rPr>
          <w:rFonts w:hint="eastAsia" w:ascii="宋体" w:hAnsi="宋体"/>
          <w:sz w:val="21"/>
          <w:szCs w:val="21"/>
          <w:lang w:eastAsia="zh-CN"/>
        </w:rPr>
        <w:t>车床为标准</w:t>
      </w:r>
      <w:r>
        <w:rPr>
          <w:rFonts w:hint="eastAsia" w:ascii="宋体" w:hAnsi="宋体"/>
          <w:sz w:val="21"/>
          <w:szCs w:val="21"/>
          <w:lang w:val="en-US" w:eastAsia="zh-CN"/>
        </w:rPr>
        <w:t>CK6163A数控车床，</w:t>
      </w:r>
    </w:p>
    <w:p>
      <w:pPr>
        <w:numPr>
          <w:ilvl w:val="0"/>
          <w:numId w:val="5"/>
        </w:numPr>
        <w:rPr>
          <w:shd w:val="clear" w:color="auto" w:fill="auto"/>
        </w:rPr>
      </w:pPr>
      <w:r>
        <w:rPr>
          <w:rFonts w:hint="eastAsia"/>
          <w:shd w:val="clear" w:color="auto" w:fill="auto"/>
        </w:rPr>
        <w:t>高强度铸铁床身树脂砂铸造</w:t>
      </w:r>
    </w:p>
    <w:p>
      <w:pPr>
        <w:numPr>
          <w:ilvl w:val="0"/>
          <w:numId w:val="5"/>
        </w:numPr>
        <w:rPr>
          <w:rFonts w:hint="eastAsia"/>
          <w:shd w:val="clear" w:color="auto" w:fill="auto"/>
        </w:rPr>
      </w:pPr>
      <w:r>
        <w:rPr>
          <w:rFonts w:hint="eastAsia"/>
          <w:shd w:val="clear" w:color="auto" w:fill="auto"/>
        </w:rPr>
        <w:t>主传动为手动无级变速（变频型）</w:t>
      </w:r>
    </w:p>
    <w:p>
      <w:pPr>
        <w:numPr>
          <w:ilvl w:val="0"/>
          <w:numId w:val="5"/>
        </w:numPr>
        <w:rPr>
          <w:rFonts w:hint="eastAsia"/>
          <w:shd w:val="clear" w:color="auto" w:fill="auto"/>
        </w:rPr>
      </w:pPr>
      <w:r>
        <w:rPr>
          <w:rFonts w:hint="eastAsia"/>
          <w:shd w:val="clear" w:color="auto" w:fill="auto"/>
        </w:rPr>
        <w:t>纵横向采用齿形同步带、</w:t>
      </w:r>
      <w:r>
        <w:rPr>
          <w:rFonts w:hint="eastAsia"/>
        </w:rPr>
        <w:t>伺服电机驱动、精密滚珠丝杠副、高刚性精密轴承传动，脉冲编码器位置检测反馈的的半闭环控制系统</w:t>
      </w:r>
    </w:p>
    <w:p>
      <w:pPr>
        <w:pStyle w:val="2"/>
        <w:rPr>
          <w:rFonts w:hint="eastAsia" w:ascii="宋体" w:hAnsi="宋体" w:eastAsia="宋体" w:cs="宋体"/>
          <w:sz w:val="21"/>
          <w:szCs w:val="21"/>
          <w:shd w:val="clear" w:color="auto" w:fill="auto"/>
          <w:lang w:val="en-US" w:eastAsia="zh-CN"/>
        </w:rPr>
      </w:pPr>
      <w:r>
        <w:rPr>
          <w:rFonts w:hint="eastAsia" w:ascii="宋体" w:hAnsi="宋体" w:eastAsia="宋体" w:cs="宋体"/>
          <w:sz w:val="21"/>
          <w:szCs w:val="21"/>
          <w:shd w:val="clear" w:color="auto" w:fill="auto"/>
        </w:rPr>
        <w:t>最大工件长度</w:t>
      </w:r>
      <w:r>
        <w:rPr>
          <w:rFonts w:hint="eastAsia" w:ascii="宋体" w:hAnsi="宋体" w:eastAsia="宋体" w:cs="宋体"/>
          <w:sz w:val="21"/>
          <w:szCs w:val="21"/>
          <w:shd w:val="clear" w:color="auto" w:fill="auto"/>
          <w:lang w:val="en-US" w:eastAsia="zh-CN"/>
        </w:rPr>
        <w:t>3000mm,带中心支架，尾顶，</w:t>
      </w:r>
    </w:p>
    <w:p>
      <w:pPr>
        <w:pStyle w:val="2"/>
        <w:rPr>
          <w:rFonts w:hint="eastAsia" w:ascii="宋体" w:hAnsi="宋体" w:eastAsia="宋体" w:cs="宋体"/>
          <w:sz w:val="21"/>
          <w:szCs w:val="21"/>
          <w:shd w:val="clear" w:color="auto" w:fill="auto"/>
          <w:lang w:val="en-US" w:eastAsia="zh-CN"/>
        </w:rPr>
      </w:pPr>
      <w:r>
        <w:rPr>
          <w:rFonts w:hint="eastAsia" w:ascii="宋体" w:hAnsi="宋体" w:eastAsia="宋体" w:cs="宋体"/>
          <w:sz w:val="21"/>
          <w:szCs w:val="21"/>
          <w:shd w:val="clear" w:color="auto" w:fill="auto"/>
          <w:lang w:val="en-US" w:eastAsia="zh-CN"/>
        </w:rPr>
        <w:t>精度要求：</w:t>
      </w:r>
    </w:p>
    <w:tbl>
      <w:tblPr>
        <w:tblStyle w:val="5"/>
        <w:tblW w:w="88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134"/>
        <w:gridCol w:w="1134"/>
        <w:gridCol w:w="3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Merge w:val="restart"/>
            <w:noWrap w:val="0"/>
            <w:vAlign w:val="center"/>
          </w:tcPr>
          <w:p>
            <w:pPr>
              <w:snapToGrid w:val="0"/>
              <w:spacing w:line="240" w:lineRule="atLeast"/>
              <w:jc w:val="center"/>
              <w:rPr>
                <w:rFonts w:ascii="楷体" w:hAnsi="楷体" w:eastAsia="楷体"/>
                <w:kern w:val="2"/>
                <w:sz w:val="21"/>
                <w:szCs w:val="21"/>
                <w:shd w:val="clear" w:color="auto" w:fill="auto"/>
              </w:rPr>
            </w:pPr>
            <w:r>
              <w:rPr>
                <w:rFonts w:hint="eastAsia" w:ascii="楷体" w:hAnsi="楷体" w:eastAsia="楷体" w:cs="宋体"/>
                <w:sz w:val="21"/>
                <w:szCs w:val="21"/>
                <w:shd w:val="clear" w:color="auto" w:fill="auto"/>
              </w:rPr>
              <w:t>定位精度</w:t>
            </w:r>
          </w:p>
        </w:tc>
        <w:tc>
          <w:tcPr>
            <w:tcW w:w="1134" w:type="dxa"/>
            <w:noWrap w:val="0"/>
            <w:vAlign w:val="center"/>
          </w:tcPr>
          <w:p>
            <w:pPr>
              <w:snapToGrid w:val="0"/>
              <w:spacing w:line="240" w:lineRule="atLeast"/>
              <w:jc w:val="center"/>
              <w:rPr>
                <w:rFonts w:ascii="楷体" w:hAnsi="楷体" w:eastAsia="楷体"/>
                <w:kern w:val="2"/>
                <w:sz w:val="21"/>
                <w:szCs w:val="21"/>
                <w:shd w:val="clear" w:color="auto" w:fill="auto"/>
              </w:rPr>
            </w:pPr>
            <w:r>
              <w:rPr>
                <w:rFonts w:hint="eastAsia" w:ascii="楷体" w:hAnsi="楷体" w:eastAsia="楷体" w:cs="宋体"/>
                <w:sz w:val="21"/>
                <w:szCs w:val="21"/>
                <w:shd w:val="clear" w:color="auto" w:fill="auto"/>
              </w:rPr>
              <w:t>横向</w:t>
            </w:r>
            <w:r>
              <w:rPr>
                <w:rFonts w:ascii="楷体" w:hAnsi="楷体" w:eastAsia="楷体"/>
                <w:sz w:val="21"/>
                <w:szCs w:val="21"/>
                <w:shd w:val="clear" w:color="auto" w:fill="auto"/>
              </w:rPr>
              <w:t>(X)</w:t>
            </w:r>
          </w:p>
        </w:tc>
        <w:tc>
          <w:tcPr>
            <w:tcW w:w="1134" w:type="dxa"/>
            <w:noWrap w:val="0"/>
            <w:vAlign w:val="center"/>
          </w:tcPr>
          <w:p>
            <w:pPr>
              <w:jc w:val="center"/>
              <w:rPr>
                <w:rFonts w:ascii="楷体" w:hAnsi="楷体" w:eastAsia="楷体"/>
                <w:color w:val="auto"/>
                <w:sz w:val="21"/>
                <w:szCs w:val="21"/>
                <w:shd w:val="clear" w:color="auto" w:fill="auto"/>
              </w:rPr>
            </w:pPr>
            <w:r>
              <w:rPr>
                <w:rFonts w:ascii="楷体" w:hAnsi="楷体" w:eastAsia="楷体"/>
                <w:color w:val="auto"/>
                <w:sz w:val="21"/>
                <w:szCs w:val="21"/>
                <w:shd w:val="clear" w:color="auto" w:fill="auto"/>
              </w:rPr>
              <w:t>mm</w:t>
            </w:r>
          </w:p>
        </w:tc>
        <w:tc>
          <w:tcPr>
            <w:tcW w:w="3804" w:type="dxa"/>
            <w:noWrap w:val="0"/>
            <w:vAlign w:val="center"/>
          </w:tcPr>
          <w:p>
            <w:pPr>
              <w:snapToGrid w:val="0"/>
              <w:spacing w:line="240" w:lineRule="atLeast"/>
              <w:jc w:val="center"/>
              <w:rPr>
                <w:rFonts w:hint="eastAsia" w:ascii="楷体" w:hAnsi="楷体" w:eastAsia="楷体"/>
                <w:color w:val="auto"/>
                <w:kern w:val="2"/>
                <w:sz w:val="21"/>
                <w:szCs w:val="21"/>
                <w:shd w:val="clear" w:color="auto" w:fill="auto"/>
              </w:rPr>
            </w:pPr>
            <w:r>
              <w:rPr>
                <w:rFonts w:hint="eastAsia"/>
                <w:lang w:val="en-US" w:eastAsia="zh-CN"/>
              </w:rPr>
              <w:t>≤</w:t>
            </w:r>
            <w:r>
              <w:rPr>
                <w:rFonts w:hint="eastAsia" w:ascii="楷体" w:hAnsi="楷体" w:eastAsia="楷体"/>
                <w:color w:val="auto"/>
                <w:sz w:val="21"/>
                <w:szCs w:val="21"/>
                <w:shd w:val="clear" w:color="auto" w:fill="auto"/>
              </w:rPr>
              <w:t>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Merge w:val="continue"/>
            <w:noWrap w:val="0"/>
            <w:vAlign w:val="center"/>
          </w:tcPr>
          <w:p>
            <w:pPr>
              <w:widowControl/>
              <w:jc w:val="center"/>
              <w:rPr>
                <w:rFonts w:ascii="楷体" w:hAnsi="楷体" w:eastAsia="楷体"/>
                <w:kern w:val="2"/>
                <w:sz w:val="21"/>
                <w:szCs w:val="21"/>
                <w:shd w:val="clear" w:color="auto" w:fill="auto"/>
              </w:rPr>
            </w:pPr>
          </w:p>
        </w:tc>
        <w:tc>
          <w:tcPr>
            <w:tcW w:w="1134" w:type="dxa"/>
            <w:noWrap w:val="0"/>
            <w:vAlign w:val="center"/>
          </w:tcPr>
          <w:p>
            <w:pPr>
              <w:widowControl/>
              <w:jc w:val="center"/>
              <w:rPr>
                <w:rFonts w:ascii="楷体" w:hAnsi="楷体" w:eastAsia="楷体"/>
                <w:kern w:val="2"/>
                <w:sz w:val="21"/>
                <w:szCs w:val="21"/>
                <w:shd w:val="clear" w:color="auto" w:fill="auto"/>
              </w:rPr>
            </w:pPr>
            <w:r>
              <w:rPr>
                <w:rFonts w:hint="eastAsia" w:ascii="楷体" w:hAnsi="楷体" w:eastAsia="楷体" w:cs="宋体"/>
                <w:sz w:val="21"/>
                <w:szCs w:val="21"/>
                <w:shd w:val="clear" w:color="auto" w:fill="auto"/>
              </w:rPr>
              <w:t>纵向</w:t>
            </w:r>
            <w:r>
              <w:rPr>
                <w:rFonts w:ascii="楷体" w:hAnsi="楷体" w:eastAsia="楷体"/>
                <w:sz w:val="21"/>
                <w:szCs w:val="21"/>
                <w:shd w:val="clear" w:color="auto" w:fill="auto"/>
              </w:rPr>
              <w:t>(Z)</w:t>
            </w:r>
          </w:p>
        </w:tc>
        <w:tc>
          <w:tcPr>
            <w:tcW w:w="1134" w:type="dxa"/>
            <w:noWrap w:val="0"/>
            <w:vAlign w:val="center"/>
          </w:tcPr>
          <w:p>
            <w:pPr>
              <w:jc w:val="center"/>
              <w:rPr>
                <w:rFonts w:hint="eastAsia" w:ascii="楷体" w:hAnsi="楷体" w:eastAsia="楷体"/>
                <w:color w:val="auto"/>
                <w:sz w:val="21"/>
                <w:szCs w:val="21"/>
                <w:shd w:val="clear" w:color="auto" w:fill="auto"/>
              </w:rPr>
            </w:pPr>
            <w:r>
              <w:rPr>
                <w:rFonts w:ascii="楷体" w:hAnsi="楷体" w:eastAsia="楷体"/>
                <w:color w:val="auto"/>
                <w:sz w:val="21"/>
                <w:szCs w:val="21"/>
                <w:shd w:val="clear" w:color="auto" w:fill="auto"/>
              </w:rPr>
              <w:t>mm</w:t>
            </w:r>
          </w:p>
        </w:tc>
        <w:tc>
          <w:tcPr>
            <w:tcW w:w="3804" w:type="dxa"/>
            <w:noWrap w:val="0"/>
            <w:vAlign w:val="center"/>
          </w:tcPr>
          <w:p>
            <w:pPr>
              <w:snapToGrid w:val="0"/>
              <w:spacing w:line="240" w:lineRule="atLeast"/>
              <w:jc w:val="center"/>
              <w:rPr>
                <w:rFonts w:ascii="楷体" w:hAnsi="楷体" w:eastAsia="楷体"/>
                <w:color w:val="auto"/>
                <w:sz w:val="21"/>
                <w:szCs w:val="21"/>
                <w:shd w:val="clear" w:color="auto" w:fill="auto"/>
              </w:rPr>
            </w:pPr>
            <w:r>
              <w:rPr>
                <w:rFonts w:hint="eastAsia"/>
                <w:lang w:val="en-US" w:eastAsia="zh-CN"/>
              </w:rPr>
              <w:t>≤</w:t>
            </w:r>
            <w:r>
              <w:rPr>
                <w:rFonts w:ascii="楷体" w:hAnsi="楷体" w:eastAsia="楷体"/>
                <w:color w:val="auto"/>
                <w:sz w:val="21"/>
                <w:szCs w:val="21"/>
                <w:shd w:val="clear" w:color="auto" w:fill="auto"/>
              </w:rPr>
              <w:t>0.0</w:t>
            </w:r>
            <w:r>
              <w:rPr>
                <w:rFonts w:hint="eastAsia" w:ascii="楷体" w:hAnsi="楷体" w:eastAsia="楷体"/>
                <w:color w:val="auto"/>
                <w:sz w:val="21"/>
                <w:szCs w:val="21"/>
                <w:shd w:val="clear" w:color="auto" w:fill="auto"/>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Merge w:val="restart"/>
            <w:noWrap w:val="0"/>
            <w:vAlign w:val="center"/>
          </w:tcPr>
          <w:p>
            <w:pPr>
              <w:snapToGrid w:val="0"/>
              <w:spacing w:line="240" w:lineRule="atLeast"/>
              <w:jc w:val="center"/>
              <w:rPr>
                <w:rFonts w:ascii="楷体" w:hAnsi="楷体" w:eastAsia="楷体"/>
                <w:kern w:val="2"/>
                <w:sz w:val="21"/>
                <w:szCs w:val="21"/>
                <w:shd w:val="clear" w:color="auto" w:fill="auto"/>
              </w:rPr>
            </w:pPr>
            <w:r>
              <w:rPr>
                <w:rFonts w:hint="eastAsia" w:ascii="楷体" w:hAnsi="楷体" w:eastAsia="楷体" w:cs="宋体"/>
                <w:sz w:val="21"/>
                <w:szCs w:val="21"/>
                <w:shd w:val="clear" w:color="auto" w:fill="auto"/>
              </w:rPr>
              <w:t>重复定位精度</w:t>
            </w:r>
          </w:p>
        </w:tc>
        <w:tc>
          <w:tcPr>
            <w:tcW w:w="1134" w:type="dxa"/>
            <w:noWrap w:val="0"/>
            <w:vAlign w:val="center"/>
          </w:tcPr>
          <w:p>
            <w:pPr>
              <w:snapToGrid w:val="0"/>
              <w:spacing w:line="240" w:lineRule="atLeast"/>
              <w:jc w:val="center"/>
              <w:rPr>
                <w:rFonts w:ascii="楷体" w:hAnsi="楷体" w:eastAsia="楷体"/>
                <w:kern w:val="2"/>
                <w:sz w:val="21"/>
                <w:szCs w:val="21"/>
                <w:shd w:val="clear" w:color="auto" w:fill="auto"/>
              </w:rPr>
            </w:pPr>
            <w:r>
              <w:rPr>
                <w:rFonts w:hint="eastAsia" w:ascii="楷体" w:hAnsi="楷体" w:eastAsia="楷体" w:cs="宋体"/>
                <w:sz w:val="21"/>
                <w:szCs w:val="21"/>
                <w:shd w:val="clear" w:color="auto" w:fill="auto"/>
              </w:rPr>
              <w:t>横向</w:t>
            </w:r>
            <w:r>
              <w:rPr>
                <w:rFonts w:ascii="楷体" w:hAnsi="楷体" w:eastAsia="楷体"/>
                <w:sz w:val="21"/>
                <w:szCs w:val="21"/>
                <w:shd w:val="clear" w:color="auto" w:fill="auto"/>
              </w:rPr>
              <w:t>(X)</w:t>
            </w:r>
          </w:p>
        </w:tc>
        <w:tc>
          <w:tcPr>
            <w:tcW w:w="1134" w:type="dxa"/>
            <w:noWrap w:val="0"/>
            <w:vAlign w:val="center"/>
          </w:tcPr>
          <w:p>
            <w:pPr>
              <w:jc w:val="center"/>
              <w:rPr>
                <w:rFonts w:ascii="楷体" w:hAnsi="楷体" w:eastAsia="楷体"/>
                <w:color w:val="auto"/>
                <w:sz w:val="21"/>
                <w:szCs w:val="21"/>
                <w:shd w:val="clear" w:color="auto" w:fill="auto"/>
              </w:rPr>
            </w:pPr>
            <w:r>
              <w:rPr>
                <w:rFonts w:ascii="楷体" w:hAnsi="楷体" w:eastAsia="楷体"/>
                <w:color w:val="auto"/>
                <w:sz w:val="21"/>
                <w:szCs w:val="21"/>
                <w:shd w:val="clear" w:color="auto" w:fill="auto"/>
              </w:rPr>
              <w:t>mm</w:t>
            </w:r>
          </w:p>
        </w:tc>
        <w:tc>
          <w:tcPr>
            <w:tcW w:w="3804" w:type="dxa"/>
            <w:noWrap w:val="0"/>
            <w:vAlign w:val="center"/>
          </w:tcPr>
          <w:p>
            <w:pPr>
              <w:snapToGrid w:val="0"/>
              <w:spacing w:line="240" w:lineRule="atLeast"/>
              <w:jc w:val="center"/>
              <w:rPr>
                <w:rFonts w:hint="eastAsia" w:ascii="楷体" w:hAnsi="楷体" w:eastAsia="楷体"/>
                <w:color w:val="auto"/>
                <w:kern w:val="2"/>
                <w:sz w:val="21"/>
                <w:szCs w:val="21"/>
                <w:shd w:val="clear" w:color="auto" w:fill="auto"/>
              </w:rPr>
            </w:pPr>
            <w:r>
              <w:rPr>
                <w:rFonts w:hint="eastAsia"/>
                <w:lang w:val="en-US" w:eastAsia="zh-CN"/>
              </w:rPr>
              <w:t>≤</w:t>
            </w:r>
            <w:r>
              <w:rPr>
                <w:rFonts w:ascii="楷体" w:hAnsi="楷体" w:eastAsia="楷体"/>
                <w:color w:val="auto"/>
                <w:sz w:val="21"/>
                <w:szCs w:val="21"/>
                <w:shd w:val="clear" w:color="auto" w:fill="auto"/>
              </w:rPr>
              <w:t>0.0</w:t>
            </w:r>
            <w:r>
              <w:rPr>
                <w:rFonts w:hint="eastAsia" w:ascii="楷体" w:hAnsi="楷体" w:eastAsia="楷体"/>
                <w:color w:val="auto"/>
                <w:sz w:val="21"/>
                <w:szCs w:val="21"/>
                <w:shd w:val="clear" w:color="auto" w:fill="auto"/>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vMerge w:val="continue"/>
            <w:noWrap w:val="0"/>
            <w:vAlign w:val="center"/>
          </w:tcPr>
          <w:p>
            <w:pPr>
              <w:widowControl/>
              <w:jc w:val="center"/>
              <w:rPr>
                <w:rFonts w:ascii="楷体" w:hAnsi="楷体" w:eastAsia="楷体"/>
                <w:kern w:val="2"/>
                <w:sz w:val="21"/>
                <w:szCs w:val="21"/>
                <w:shd w:val="clear" w:color="auto" w:fill="auto"/>
              </w:rPr>
            </w:pPr>
          </w:p>
        </w:tc>
        <w:tc>
          <w:tcPr>
            <w:tcW w:w="1134" w:type="dxa"/>
            <w:noWrap w:val="0"/>
            <w:vAlign w:val="center"/>
          </w:tcPr>
          <w:p>
            <w:pPr>
              <w:widowControl/>
              <w:jc w:val="center"/>
              <w:rPr>
                <w:rFonts w:ascii="楷体" w:hAnsi="楷体" w:eastAsia="楷体"/>
                <w:kern w:val="2"/>
                <w:sz w:val="21"/>
                <w:szCs w:val="21"/>
                <w:shd w:val="clear" w:color="auto" w:fill="auto"/>
              </w:rPr>
            </w:pPr>
            <w:r>
              <w:rPr>
                <w:rFonts w:hint="eastAsia" w:ascii="楷体" w:hAnsi="楷体" w:eastAsia="楷体" w:cs="宋体"/>
                <w:sz w:val="21"/>
                <w:szCs w:val="21"/>
                <w:shd w:val="clear" w:color="auto" w:fill="auto"/>
              </w:rPr>
              <w:t>纵向</w:t>
            </w:r>
            <w:r>
              <w:rPr>
                <w:rFonts w:ascii="楷体" w:hAnsi="楷体" w:eastAsia="楷体"/>
                <w:sz w:val="21"/>
                <w:szCs w:val="21"/>
                <w:shd w:val="clear" w:color="auto" w:fill="auto"/>
              </w:rPr>
              <w:t>(Z)</w:t>
            </w:r>
          </w:p>
        </w:tc>
        <w:tc>
          <w:tcPr>
            <w:tcW w:w="1134" w:type="dxa"/>
            <w:noWrap w:val="0"/>
            <w:vAlign w:val="center"/>
          </w:tcPr>
          <w:p>
            <w:pPr>
              <w:jc w:val="center"/>
              <w:rPr>
                <w:rFonts w:ascii="楷体" w:hAnsi="楷体" w:eastAsia="楷体"/>
                <w:sz w:val="21"/>
                <w:szCs w:val="21"/>
                <w:shd w:val="clear" w:color="auto" w:fill="auto"/>
              </w:rPr>
            </w:pPr>
            <w:r>
              <w:rPr>
                <w:rFonts w:ascii="楷体" w:hAnsi="楷体" w:eastAsia="楷体"/>
                <w:color w:val="auto"/>
                <w:sz w:val="21"/>
                <w:szCs w:val="21"/>
                <w:shd w:val="clear" w:color="auto" w:fill="auto"/>
              </w:rPr>
              <w:t>mm</w:t>
            </w:r>
          </w:p>
        </w:tc>
        <w:tc>
          <w:tcPr>
            <w:tcW w:w="3804" w:type="dxa"/>
            <w:noWrap w:val="0"/>
            <w:vAlign w:val="center"/>
          </w:tcPr>
          <w:p>
            <w:pPr>
              <w:snapToGrid w:val="0"/>
              <w:spacing w:line="240" w:lineRule="atLeast"/>
              <w:jc w:val="center"/>
              <w:rPr>
                <w:rFonts w:ascii="楷体" w:hAnsi="楷体" w:eastAsia="楷体"/>
                <w:kern w:val="2"/>
                <w:sz w:val="21"/>
                <w:szCs w:val="21"/>
                <w:shd w:val="clear" w:color="auto" w:fill="auto"/>
              </w:rPr>
            </w:pPr>
            <w:r>
              <w:rPr>
                <w:rFonts w:hint="eastAsia"/>
                <w:lang w:val="en-US" w:eastAsia="zh-CN"/>
              </w:rPr>
              <w:t>≤</w:t>
            </w:r>
            <w:r>
              <w:rPr>
                <w:rFonts w:hint="eastAsia" w:ascii="楷体" w:hAnsi="楷体" w:eastAsia="楷体" w:cs="宋体"/>
                <w:color w:val="auto"/>
                <w:sz w:val="21"/>
                <w:szCs w:val="21"/>
                <w:shd w:val="clear" w:color="auto" w:fill="auto"/>
              </w:rPr>
              <w:t>0.014（2000规格以上，应在正常2000mm工作测量长度上检验）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gridSpan w:val="2"/>
            <w:noWrap w:val="0"/>
            <w:vAlign w:val="center"/>
          </w:tcPr>
          <w:p>
            <w:pPr>
              <w:widowControl/>
              <w:jc w:val="center"/>
              <w:rPr>
                <w:rFonts w:ascii="楷体" w:hAnsi="楷体" w:eastAsia="楷体"/>
                <w:kern w:val="2"/>
                <w:sz w:val="21"/>
                <w:szCs w:val="21"/>
                <w:shd w:val="clear" w:color="auto" w:fill="auto"/>
              </w:rPr>
            </w:pPr>
            <w:r>
              <w:rPr>
                <w:rFonts w:hint="eastAsia" w:ascii="楷体" w:hAnsi="楷体" w:eastAsia="楷体" w:cs="宋体"/>
                <w:sz w:val="21"/>
                <w:szCs w:val="21"/>
                <w:shd w:val="clear" w:color="auto" w:fill="auto"/>
              </w:rPr>
              <w:t>工件加工精度</w:t>
            </w:r>
          </w:p>
        </w:tc>
        <w:tc>
          <w:tcPr>
            <w:tcW w:w="1134" w:type="dxa"/>
            <w:noWrap w:val="0"/>
            <w:vAlign w:val="center"/>
          </w:tcPr>
          <w:p>
            <w:pPr>
              <w:jc w:val="center"/>
              <w:rPr>
                <w:rFonts w:ascii="楷体" w:hAnsi="楷体" w:eastAsia="楷体"/>
                <w:sz w:val="21"/>
                <w:szCs w:val="21"/>
                <w:shd w:val="clear" w:color="auto" w:fill="auto"/>
              </w:rPr>
            </w:pPr>
          </w:p>
        </w:tc>
        <w:tc>
          <w:tcPr>
            <w:tcW w:w="3804" w:type="dxa"/>
            <w:noWrap w:val="0"/>
            <w:vAlign w:val="center"/>
          </w:tcPr>
          <w:p>
            <w:pPr>
              <w:snapToGrid w:val="0"/>
              <w:spacing w:line="240" w:lineRule="atLeast"/>
              <w:jc w:val="center"/>
              <w:rPr>
                <w:rFonts w:ascii="楷体" w:hAnsi="楷体" w:eastAsia="楷体"/>
                <w:kern w:val="2"/>
                <w:sz w:val="21"/>
                <w:szCs w:val="21"/>
                <w:shd w:val="clear" w:color="auto" w:fill="auto"/>
              </w:rPr>
            </w:pPr>
            <w:r>
              <w:rPr>
                <w:rFonts w:hint="eastAsia"/>
                <w:lang w:val="en-US" w:eastAsia="zh-CN"/>
              </w:rPr>
              <w:t>≤</w:t>
            </w:r>
            <w:r>
              <w:rPr>
                <w:rFonts w:ascii="楷体" w:hAnsi="楷体" w:eastAsia="楷体"/>
                <w:sz w:val="21"/>
                <w:szCs w:val="21"/>
                <w:shd w:val="clear" w:color="auto" w:fill="auto"/>
              </w:rPr>
              <w:t>IT6</w:t>
            </w:r>
            <w:r>
              <w:rPr>
                <w:rFonts w:hint="eastAsia" w:ascii="楷体" w:hAnsi="楷体" w:eastAsia="楷体" w:cs="宋体"/>
                <w:sz w:val="21"/>
                <w:szCs w:val="21"/>
                <w:shd w:val="clear" w:color="auto" w:fill="auto"/>
              </w:rPr>
              <w:t>～</w:t>
            </w:r>
            <w:r>
              <w:rPr>
                <w:rFonts w:ascii="楷体" w:hAnsi="楷体" w:eastAsia="楷体"/>
                <w:sz w:val="21"/>
                <w:szCs w:val="21"/>
                <w:shd w:val="clear" w:color="auto" w:fill="auto"/>
              </w:rPr>
              <w:t xml:space="preserve"> IT7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gridSpan w:val="2"/>
            <w:noWrap w:val="0"/>
            <w:vAlign w:val="center"/>
          </w:tcPr>
          <w:p>
            <w:pPr>
              <w:widowControl/>
              <w:jc w:val="center"/>
              <w:rPr>
                <w:rFonts w:ascii="楷体" w:hAnsi="楷体" w:eastAsia="楷体"/>
                <w:kern w:val="2"/>
                <w:sz w:val="21"/>
                <w:szCs w:val="21"/>
                <w:shd w:val="clear" w:color="auto" w:fill="auto"/>
              </w:rPr>
            </w:pPr>
            <w:r>
              <w:rPr>
                <w:rFonts w:hint="eastAsia" w:ascii="楷体" w:hAnsi="楷体" w:eastAsia="楷体" w:cs="宋体"/>
                <w:sz w:val="21"/>
                <w:szCs w:val="21"/>
                <w:shd w:val="clear" w:color="auto" w:fill="auto"/>
              </w:rPr>
              <w:t>工件表面粗糙度</w:t>
            </w:r>
          </w:p>
        </w:tc>
        <w:tc>
          <w:tcPr>
            <w:tcW w:w="1134" w:type="dxa"/>
            <w:noWrap w:val="0"/>
            <w:vAlign w:val="center"/>
          </w:tcPr>
          <w:p>
            <w:pPr>
              <w:jc w:val="center"/>
              <w:rPr>
                <w:rFonts w:ascii="楷体" w:hAnsi="楷体" w:eastAsia="楷体"/>
                <w:sz w:val="21"/>
                <w:szCs w:val="21"/>
                <w:shd w:val="clear" w:color="auto" w:fill="auto"/>
              </w:rPr>
            </w:pPr>
          </w:p>
        </w:tc>
        <w:tc>
          <w:tcPr>
            <w:tcW w:w="3804" w:type="dxa"/>
            <w:noWrap w:val="0"/>
            <w:vAlign w:val="center"/>
          </w:tcPr>
          <w:p>
            <w:pPr>
              <w:snapToGrid w:val="0"/>
              <w:spacing w:line="240" w:lineRule="atLeast"/>
              <w:jc w:val="center"/>
              <w:rPr>
                <w:rFonts w:ascii="楷体" w:hAnsi="楷体" w:eastAsia="楷体"/>
                <w:kern w:val="2"/>
                <w:sz w:val="21"/>
                <w:szCs w:val="21"/>
                <w:shd w:val="clear" w:color="auto" w:fill="auto"/>
              </w:rPr>
            </w:pPr>
            <w:r>
              <w:rPr>
                <w:rFonts w:hint="eastAsia"/>
                <w:lang w:val="en-US" w:eastAsia="zh-CN"/>
              </w:rPr>
              <w:t>≤</w:t>
            </w:r>
            <w:r>
              <w:rPr>
                <w:rFonts w:ascii="楷体" w:hAnsi="楷体" w:eastAsia="楷体"/>
                <w:sz w:val="21"/>
                <w:szCs w:val="21"/>
                <w:shd w:val="clear" w:color="auto" w:fill="auto"/>
              </w:rPr>
              <w:t>Ra1.6</w:t>
            </w:r>
          </w:p>
        </w:tc>
      </w:tr>
    </w:tbl>
    <w:p>
      <w:pPr>
        <w:pStyle w:val="2"/>
        <w:numPr>
          <w:ilvl w:val="0"/>
          <w:numId w:val="4"/>
        </w:numPr>
        <w:ind w:left="0" w:leftChars="0" w:firstLine="480" w:firstLineChars="200"/>
        <w:rPr>
          <w:rFonts w:hint="eastAsia" w:ascii="宋体"/>
          <w:color w:val="0000FF"/>
          <w:szCs w:val="21"/>
        </w:rPr>
      </w:pPr>
      <w:r>
        <w:rPr>
          <w:rFonts w:hint="eastAsia" w:ascii="宋体"/>
          <w:color w:val="0000FF"/>
          <w:szCs w:val="21"/>
        </w:rPr>
        <w:t>摇臂钻床</w:t>
      </w:r>
    </w:p>
    <w:p>
      <w:pPr>
        <w:spacing w:line="380" w:lineRule="exact"/>
        <w:rPr>
          <w:rFonts w:ascii="宋体"/>
          <w:sz w:val="24"/>
        </w:rPr>
      </w:pPr>
      <w:r>
        <w:rPr>
          <w:rFonts w:hint="eastAsia" w:ascii="宋体"/>
          <w:szCs w:val="21"/>
          <w:lang w:val="en-US" w:eastAsia="zh-CN"/>
        </w:rPr>
        <w:t xml:space="preserve">  </w:t>
      </w:r>
      <w:r>
        <w:rPr>
          <w:rFonts w:hint="eastAsia" w:ascii="宋体"/>
          <w:sz w:val="24"/>
        </w:rPr>
        <w:t>主要特点</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摇臂上导轨、主轴套筒及内外柱回转滚道等处均采用表面淬火处理，延长了机床的使用寿命。</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所有操纵手柄均集中安放在很方便的部位，且操纵轻便。</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主轴正反转、停车（制动）、变速、空挡五个动作，均用一个手柄控制，使用方便。</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主轴箱、摇臂、内外柱采用液压驱动的菱形块夹紧机构，夹紧可靠。</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采用液压予选变速机构，可节省辅助时间。</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有完善的安全保护装置，符合国际通用标准。</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主轴箱、立柱的夹紧或松开可单独夹紧，也可同时夹紧。</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立柱、摇臂、主轴箱等大件均采用高强度铸铁，提高了大件的刚度和强度。</w:t>
      </w:r>
    </w:p>
    <w:p>
      <w:pPr>
        <w:numPr>
          <w:ilvl w:val="0"/>
          <w:numId w:val="6"/>
        </w:numPr>
        <w:tabs>
          <w:tab w:val="left" w:pos="420"/>
        </w:tabs>
        <w:spacing w:line="380" w:lineRule="exact"/>
        <w:ind w:left="420" w:leftChars="0" w:hanging="420" w:firstLineChars="0"/>
        <w:rPr>
          <w:rFonts w:ascii="宋体"/>
          <w:szCs w:val="21"/>
        </w:rPr>
      </w:pPr>
      <w:r>
        <w:rPr>
          <w:rFonts w:hint="eastAsia" w:ascii="宋体"/>
          <w:szCs w:val="21"/>
        </w:rPr>
        <w:t>主轴箱内部、摇臂与立柱等均采用自动润滑。摇臂导轨、摇臂升降机构等采用手动润滑。</w:t>
      </w:r>
    </w:p>
    <w:p>
      <w:pPr>
        <w:numPr>
          <w:ilvl w:val="0"/>
          <w:numId w:val="6"/>
        </w:numPr>
        <w:tabs>
          <w:tab w:val="left" w:pos="420"/>
        </w:tabs>
        <w:spacing w:line="380" w:lineRule="exact"/>
        <w:ind w:left="420" w:leftChars="0" w:hanging="420" w:firstLineChars="0"/>
        <w:rPr>
          <w:rFonts w:ascii="宋体"/>
          <w:b/>
          <w:bCs/>
          <w:sz w:val="24"/>
        </w:rPr>
      </w:pPr>
      <w:r>
        <w:rPr>
          <w:rFonts w:hint="eastAsia" w:ascii="宋体"/>
          <w:szCs w:val="21"/>
        </w:rPr>
        <w:t>本机床使用三相380V/50Hz交流电源。控制电路、照明电路、指示灯均由控制变压器供电。</w:t>
      </w:r>
    </w:p>
    <w:p>
      <w:pPr>
        <w:numPr>
          <w:ilvl w:val="0"/>
          <w:numId w:val="6"/>
        </w:numPr>
        <w:tabs>
          <w:tab w:val="left" w:pos="420"/>
        </w:tabs>
        <w:spacing w:line="380" w:lineRule="exact"/>
        <w:ind w:left="420" w:leftChars="0" w:hanging="420" w:firstLineChars="0"/>
        <w:rPr>
          <w:rFonts w:ascii="宋体"/>
          <w:b/>
          <w:bCs/>
          <w:sz w:val="24"/>
        </w:rPr>
      </w:pPr>
      <w:r>
        <w:rPr>
          <w:rFonts w:hint="eastAsia" w:ascii="宋体"/>
          <w:b/>
          <w:bCs/>
          <w:sz w:val="24"/>
        </w:rPr>
        <w:t xml:space="preserve">主要规格及技术参数 </w:t>
      </w:r>
    </w:p>
    <w:tbl>
      <w:tblPr>
        <w:tblStyle w:val="5"/>
        <w:tblW w:w="8854" w:type="dxa"/>
        <w:tblInd w:w="327"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707"/>
        <w:gridCol w:w="857"/>
        <w:gridCol w:w="2738"/>
        <w:gridCol w:w="1276"/>
        <w:gridCol w:w="127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项目</w:t>
            </w:r>
          </w:p>
        </w:tc>
        <w:tc>
          <w:tcPr>
            <w:tcW w:w="2738"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规格</w:t>
            </w:r>
          </w:p>
        </w:tc>
        <w:tc>
          <w:tcPr>
            <w:tcW w:w="1276"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单 位</w:t>
            </w:r>
          </w:p>
        </w:tc>
        <w:tc>
          <w:tcPr>
            <w:tcW w:w="1276" w:type="dxa"/>
          </w:tcPr>
          <w:p>
            <w:pPr>
              <w:widowControl/>
              <w:spacing w:line="360" w:lineRule="auto"/>
              <w:jc w:val="center"/>
              <w:rPr>
                <w:rFonts w:ascii="宋体" w:hAnsi="宋体" w:cs="宋体"/>
                <w:b/>
                <w:bCs/>
                <w:kern w:val="0"/>
                <w:szCs w:val="21"/>
              </w:rPr>
            </w:pPr>
            <w:r>
              <w:rPr>
                <w:rFonts w:hint="eastAsia" w:ascii="宋体" w:hAnsi="宋体" w:cs="宋体"/>
                <w:b/>
                <w:bCs/>
                <w:kern w:val="0"/>
                <w:szCs w:val="21"/>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最大钻孔直径</w:t>
            </w:r>
          </w:p>
        </w:tc>
        <w:tc>
          <w:tcPr>
            <w:tcW w:w="2738" w:type="dxa"/>
            <w:vAlign w:val="center"/>
          </w:tcPr>
          <w:p>
            <w:pPr>
              <w:widowControl/>
              <w:ind w:firstLine="1260" w:firstLineChars="600"/>
              <w:jc w:val="both"/>
              <w:rPr>
                <w:rFonts w:ascii="宋体" w:hAnsi="宋体" w:cs="宋体"/>
                <w:bCs/>
                <w:kern w:val="0"/>
                <w:szCs w:val="21"/>
              </w:rPr>
            </w:pPr>
            <w:r>
              <w:rPr>
                <w:rFonts w:hint="eastAsia" w:ascii="宋体" w:hAnsi="宋体" w:cs="宋体"/>
                <w:bCs/>
                <w:kern w:val="0"/>
                <w:szCs w:val="21"/>
                <w:lang w:eastAsia="zh-CN"/>
              </w:rPr>
              <w:t>≥</w:t>
            </w:r>
            <w:r>
              <w:rPr>
                <w:rFonts w:hint="eastAsia" w:ascii="宋体" w:hAnsi="宋体" w:cs="宋体"/>
                <w:bCs/>
                <w:kern w:val="0"/>
                <w:szCs w:val="21"/>
              </w:rPr>
              <w:t>50</w:t>
            </w:r>
          </w:p>
        </w:tc>
        <w:tc>
          <w:tcPr>
            <w:tcW w:w="1276" w:type="dxa"/>
            <w:vAlign w:val="center"/>
          </w:tcPr>
          <w:p>
            <w:pPr>
              <w:widowControl/>
              <w:jc w:val="center"/>
              <w:rPr>
                <w:rFonts w:ascii="宋体" w:hAnsi="宋体" w:cs="宋体"/>
                <w:bCs/>
                <w:kern w:val="0"/>
                <w:szCs w:val="21"/>
              </w:rPr>
            </w:pPr>
            <w:r>
              <w:rPr>
                <w:rFonts w:hint="eastAsia" w:ascii="宋体" w:hAnsi="宋体" w:cs="宋体"/>
                <w:bCs/>
                <w:kern w:val="0"/>
                <w:szCs w:val="21"/>
              </w:rPr>
              <w:t>mm</w:t>
            </w:r>
          </w:p>
        </w:tc>
        <w:tc>
          <w:tcPr>
            <w:tcW w:w="1276" w:type="dxa"/>
          </w:tcPr>
          <w:p>
            <w:pPr>
              <w:widowControl/>
              <w:jc w:val="center"/>
              <w:rPr>
                <w:rFonts w:ascii="宋体" w:hAnsi="宋体" w:cs="宋体"/>
                <w:bCs/>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2707" w:type="dxa"/>
            <w:vMerge w:val="restart"/>
            <w:vAlign w:val="center"/>
          </w:tcPr>
          <w:p>
            <w:pPr>
              <w:widowControl/>
              <w:jc w:val="center"/>
              <w:rPr>
                <w:rFonts w:ascii="宋体" w:hAnsi="宋体" w:cs="宋体"/>
                <w:bCs/>
                <w:kern w:val="0"/>
                <w:szCs w:val="21"/>
              </w:rPr>
            </w:pPr>
            <w:r>
              <w:rPr>
                <w:rFonts w:hint="eastAsia" w:ascii="宋体" w:hAnsi="宋体" w:cs="宋体"/>
                <w:bCs/>
                <w:kern w:val="0"/>
                <w:szCs w:val="21"/>
              </w:rPr>
              <w:t>主轴中心线至立柱母线距离</w:t>
            </w:r>
          </w:p>
        </w:tc>
        <w:tc>
          <w:tcPr>
            <w:tcW w:w="857" w:type="dxa"/>
            <w:vAlign w:val="center"/>
          </w:tcPr>
          <w:p>
            <w:pPr>
              <w:widowControl/>
              <w:jc w:val="center"/>
              <w:rPr>
                <w:rFonts w:ascii="宋体" w:hAnsi="宋体" w:cs="宋体"/>
                <w:bCs/>
                <w:kern w:val="0"/>
                <w:szCs w:val="21"/>
              </w:rPr>
            </w:pPr>
            <w:r>
              <w:rPr>
                <w:rFonts w:hint="eastAsia" w:ascii="宋体" w:hAnsi="宋体" w:cs="宋体"/>
                <w:bCs/>
                <w:kern w:val="0"/>
                <w:szCs w:val="21"/>
              </w:rPr>
              <w:t>最大</w:t>
            </w:r>
          </w:p>
        </w:tc>
        <w:tc>
          <w:tcPr>
            <w:tcW w:w="2738" w:type="dxa"/>
            <w:vAlign w:val="center"/>
          </w:tcPr>
          <w:p>
            <w:pPr>
              <w:widowControl/>
              <w:jc w:val="center"/>
              <w:rPr>
                <w:rFonts w:ascii="宋体" w:hAnsi="宋体" w:cs="宋体"/>
                <w:kern w:val="0"/>
                <w:szCs w:val="21"/>
              </w:rPr>
            </w:pPr>
            <w:r>
              <w:rPr>
                <w:rFonts w:hint="eastAsia" w:ascii="宋体" w:hAnsi="宋体" w:cs="宋体"/>
                <w:bCs/>
                <w:kern w:val="0"/>
                <w:szCs w:val="21"/>
                <w:lang w:eastAsia="zh-CN"/>
              </w:rPr>
              <w:t>≥</w:t>
            </w:r>
            <w:r>
              <w:rPr>
                <w:rFonts w:hint="eastAsia" w:ascii="宋体" w:hAnsi="宋体" w:cs="宋体"/>
                <w:kern w:val="0"/>
                <w:szCs w:val="21"/>
              </w:rPr>
              <w:t xml:space="preserve">1600      </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mm</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2707" w:type="dxa"/>
            <w:vMerge w:val="continue"/>
            <w:vAlign w:val="center"/>
          </w:tcPr>
          <w:p>
            <w:pPr>
              <w:widowControl/>
              <w:jc w:val="center"/>
              <w:rPr>
                <w:rFonts w:ascii="宋体" w:hAnsi="宋体" w:cs="宋体"/>
                <w:bCs/>
                <w:kern w:val="0"/>
                <w:szCs w:val="21"/>
              </w:rPr>
            </w:pPr>
          </w:p>
        </w:tc>
        <w:tc>
          <w:tcPr>
            <w:tcW w:w="857" w:type="dxa"/>
            <w:vAlign w:val="center"/>
          </w:tcPr>
          <w:p>
            <w:pPr>
              <w:widowControl/>
              <w:jc w:val="center"/>
              <w:rPr>
                <w:rFonts w:ascii="宋体" w:hAnsi="宋体" w:cs="宋体"/>
                <w:bCs/>
                <w:kern w:val="0"/>
                <w:szCs w:val="21"/>
              </w:rPr>
            </w:pPr>
            <w:r>
              <w:rPr>
                <w:rFonts w:hint="eastAsia" w:ascii="宋体" w:hAnsi="宋体" w:cs="宋体"/>
                <w:bCs/>
                <w:kern w:val="0"/>
                <w:szCs w:val="21"/>
              </w:rPr>
              <w:t>最小</w:t>
            </w:r>
          </w:p>
        </w:tc>
        <w:tc>
          <w:tcPr>
            <w:tcW w:w="2738" w:type="dxa"/>
            <w:vAlign w:val="center"/>
          </w:tcPr>
          <w:p>
            <w:pPr>
              <w:widowControl/>
              <w:jc w:val="center"/>
              <w:rPr>
                <w:rFonts w:ascii="宋体" w:hAnsi="宋体" w:cs="宋体"/>
                <w:kern w:val="0"/>
                <w:szCs w:val="21"/>
              </w:rPr>
            </w:pPr>
            <w:r>
              <w:rPr>
                <w:rFonts w:hint="eastAsia" w:ascii="宋体" w:hAnsi="宋体" w:cs="宋体"/>
                <w:bCs/>
                <w:kern w:val="0"/>
                <w:szCs w:val="21"/>
                <w:lang w:eastAsia="zh-CN"/>
              </w:rPr>
              <w:t>≥</w:t>
            </w:r>
            <w:r>
              <w:rPr>
                <w:rFonts w:hint="eastAsia" w:ascii="宋体" w:hAnsi="宋体" w:cs="宋体"/>
                <w:kern w:val="0"/>
                <w:szCs w:val="21"/>
              </w:rPr>
              <w:t>350</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mm</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主轴箱水平移动距离</w:t>
            </w:r>
          </w:p>
        </w:tc>
        <w:tc>
          <w:tcPr>
            <w:tcW w:w="2738" w:type="dxa"/>
            <w:vAlign w:val="center"/>
          </w:tcPr>
          <w:p>
            <w:pPr>
              <w:widowControl/>
              <w:jc w:val="center"/>
              <w:rPr>
                <w:rFonts w:ascii="宋体" w:hAnsi="宋体" w:cs="宋体"/>
                <w:kern w:val="0"/>
                <w:szCs w:val="21"/>
              </w:rPr>
            </w:pPr>
            <w:r>
              <w:rPr>
                <w:rFonts w:hint="eastAsia" w:ascii="宋体" w:hAnsi="宋体" w:cs="宋体"/>
                <w:bCs/>
                <w:kern w:val="0"/>
                <w:szCs w:val="21"/>
                <w:lang w:eastAsia="zh-CN"/>
              </w:rPr>
              <w:t>≥</w:t>
            </w:r>
            <w:r>
              <w:rPr>
                <w:rFonts w:hint="eastAsia" w:ascii="宋体" w:hAnsi="宋体" w:cs="宋体"/>
                <w:kern w:val="0"/>
                <w:szCs w:val="21"/>
              </w:rPr>
              <w:t xml:space="preserve">1250      </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mm</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摇臂升降距离</w:t>
            </w:r>
          </w:p>
        </w:tc>
        <w:tc>
          <w:tcPr>
            <w:tcW w:w="2738" w:type="dxa"/>
            <w:vAlign w:val="center"/>
          </w:tcPr>
          <w:p>
            <w:pPr>
              <w:widowControl/>
              <w:jc w:val="center"/>
              <w:rPr>
                <w:rFonts w:ascii="宋体" w:hAnsi="宋体" w:cs="宋体"/>
                <w:kern w:val="0"/>
                <w:szCs w:val="21"/>
              </w:rPr>
            </w:pPr>
            <w:r>
              <w:rPr>
                <w:rFonts w:hint="eastAsia" w:ascii="宋体" w:hAnsi="宋体" w:cs="宋体"/>
                <w:bCs/>
                <w:kern w:val="0"/>
                <w:szCs w:val="21"/>
                <w:lang w:eastAsia="zh-CN"/>
              </w:rPr>
              <w:t>≥</w:t>
            </w:r>
            <w:r>
              <w:rPr>
                <w:rFonts w:hint="eastAsia" w:ascii="宋体" w:hAnsi="宋体" w:cs="宋体"/>
                <w:kern w:val="0"/>
                <w:szCs w:val="21"/>
              </w:rPr>
              <w:t>580</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mm</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摇臂回转角度</w:t>
            </w:r>
          </w:p>
        </w:tc>
        <w:tc>
          <w:tcPr>
            <w:tcW w:w="2738" w:type="dxa"/>
            <w:vAlign w:val="center"/>
          </w:tcPr>
          <w:p>
            <w:pPr>
              <w:widowControl/>
              <w:jc w:val="center"/>
              <w:rPr>
                <w:rFonts w:ascii="宋体" w:hAnsi="宋体" w:cs="宋体"/>
                <w:kern w:val="0"/>
                <w:szCs w:val="21"/>
              </w:rPr>
            </w:pPr>
            <w:r>
              <w:rPr>
                <w:rFonts w:hint="eastAsia" w:ascii="宋体" w:hAnsi="宋体" w:cs="宋体"/>
                <w:kern w:val="0"/>
                <w:szCs w:val="21"/>
              </w:rPr>
              <w:t>±180</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度</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主轴圆锥孔</w:t>
            </w:r>
          </w:p>
        </w:tc>
        <w:tc>
          <w:tcPr>
            <w:tcW w:w="2738" w:type="dxa"/>
            <w:vAlign w:val="center"/>
          </w:tcPr>
          <w:p>
            <w:pPr>
              <w:widowControl/>
              <w:ind w:firstLine="630" w:firstLineChars="300"/>
              <w:rPr>
                <w:rFonts w:ascii="宋体" w:hAnsi="宋体" w:cs="宋体"/>
                <w:kern w:val="0"/>
                <w:szCs w:val="21"/>
              </w:rPr>
            </w:pPr>
            <w:r>
              <w:rPr>
                <w:rFonts w:hint="eastAsia" w:ascii="宋体" w:hAnsi="宋体" w:cs="宋体"/>
                <w:kern w:val="0"/>
                <w:szCs w:val="21"/>
              </w:rPr>
              <w:t>莫氏5号</w:t>
            </w:r>
          </w:p>
        </w:tc>
        <w:tc>
          <w:tcPr>
            <w:tcW w:w="1276" w:type="dxa"/>
            <w:vAlign w:val="center"/>
          </w:tcPr>
          <w:p>
            <w:pPr>
              <w:widowControl/>
              <w:jc w:val="center"/>
              <w:rPr>
                <w:rFonts w:ascii="宋体" w:hAnsi="宋体" w:cs="宋体"/>
                <w:kern w:val="0"/>
                <w:szCs w:val="21"/>
              </w:rPr>
            </w:pP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主轴转速范围</w:t>
            </w:r>
          </w:p>
        </w:tc>
        <w:tc>
          <w:tcPr>
            <w:tcW w:w="2738" w:type="dxa"/>
            <w:vAlign w:val="center"/>
          </w:tcPr>
          <w:p>
            <w:pPr>
              <w:widowControl/>
              <w:jc w:val="center"/>
              <w:rPr>
                <w:rFonts w:ascii="宋体" w:hAnsi="宋体" w:cs="宋体"/>
                <w:kern w:val="0"/>
                <w:szCs w:val="21"/>
              </w:rPr>
            </w:pPr>
            <w:r>
              <w:rPr>
                <w:rFonts w:hint="eastAsia" w:ascii="宋体" w:hAnsi="宋体" w:cs="宋体"/>
                <w:kern w:val="0"/>
                <w:szCs w:val="21"/>
              </w:rPr>
              <w:t>25-2000</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r/min</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主轴转速级数</w:t>
            </w:r>
          </w:p>
        </w:tc>
        <w:tc>
          <w:tcPr>
            <w:tcW w:w="2738" w:type="dxa"/>
            <w:vAlign w:val="center"/>
          </w:tcPr>
          <w:p>
            <w:pPr>
              <w:widowControl/>
              <w:jc w:val="center"/>
              <w:rPr>
                <w:rFonts w:ascii="宋体" w:hAnsi="宋体" w:cs="宋体"/>
                <w:kern w:val="0"/>
                <w:szCs w:val="21"/>
              </w:rPr>
            </w:pPr>
            <w:r>
              <w:rPr>
                <w:rFonts w:hint="eastAsia" w:ascii="宋体" w:hAnsi="宋体" w:cs="宋体"/>
                <w:kern w:val="0"/>
                <w:szCs w:val="21"/>
              </w:rPr>
              <w:t>16</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级</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主轴进给量范围</w:t>
            </w:r>
          </w:p>
        </w:tc>
        <w:tc>
          <w:tcPr>
            <w:tcW w:w="2738" w:type="dxa"/>
            <w:vAlign w:val="center"/>
          </w:tcPr>
          <w:p>
            <w:pPr>
              <w:widowControl/>
              <w:jc w:val="center"/>
              <w:rPr>
                <w:rFonts w:ascii="宋体" w:hAnsi="宋体" w:cs="宋体"/>
                <w:kern w:val="0"/>
                <w:szCs w:val="21"/>
              </w:rPr>
            </w:pPr>
            <w:r>
              <w:rPr>
                <w:rFonts w:hint="eastAsia" w:ascii="宋体" w:hAnsi="宋体" w:cs="宋体"/>
                <w:kern w:val="0"/>
                <w:szCs w:val="21"/>
              </w:rPr>
              <w:t>0.04-3.2</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mm/r</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主轴进给量级数</w:t>
            </w:r>
          </w:p>
        </w:tc>
        <w:tc>
          <w:tcPr>
            <w:tcW w:w="2738" w:type="dxa"/>
            <w:vAlign w:val="center"/>
          </w:tcPr>
          <w:p>
            <w:pPr>
              <w:widowControl/>
              <w:jc w:val="center"/>
              <w:rPr>
                <w:rFonts w:ascii="宋体" w:hAnsi="宋体" w:cs="宋体"/>
                <w:kern w:val="0"/>
                <w:szCs w:val="21"/>
              </w:rPr>
            </w:pPr>
            <w:r>
              <w:rPr>
                <w:rFonts w:hint="eastAsia" w:ascii="宋体" w:hAnsi="宋体" w:cs="宋体"/>
                <w:kern w:val="0"/>
                <w:szCs w:val="21"/>
              </w:rPr>
              <w:t>16</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级</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主轴行程</w:t>
            </w:r>
          </w:p>
        </w:tc>
        <w:tc>
          <w:tcPr>
            <w:tcW w:w="2738" w:type="dxa"/>
            <w:vAlign w:val="center"/>
          </w:tcPr>
          <w:p>
            <w:pPr>
              <w:widowControl/>
              <w:jc w:val="center"/>
              <w:rPr>
                <w:rFonts w:ascii="宋体" w:hAnsi="宋体" w:cs="宋体"/>
                <w:kern w:val="0"/>
                <w:szCs w:val="21"/>
              </w:rPr>
            </w:pPr>
            <w:r>
              <w:rPr>
                <w:rFonts w:hint="eastAsia" w:ascii="宋体" w:hAnsi="宋体" w:cs="宋体"/>
                <w:bCs/>
                <w:kern w:val="0"/>
                <w:szCs w:val="21"/>
                <w:lang w:eastAsia="zh-CN"/>
              </w:rPr>
              <w:t>≥</w:t>
            </w:r>
            <w:r>
              <w:rPr>
                <w:rFonts w:hint="eastAsia" w:ascii="宋体" w:hAnsi="宋体" w:cs="宋体"/>
                <w:kern w:val="0"/>
                <w:szCs w:val="21"/>
              </w:rPr>
              <w:t>315</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mm</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主轴允许最大扭转力矩</w:t>
            </w:r>
          </w:p>
        </w:tc>
        <w:tc>
          <w:tcPr>
            <w:tcW w:w="2738" w:type="dxa"/>
            <w:vAlign w:val="center"/>
          </w:tcPr>
          <w:p>
            <w:pPr>
              <w:widowControl/>
              <w:ind w:firstLine="945" w:firstLineChars="450"/>
              <w:rPr>
                <w:rFonts w:ascii="宋体" w:hAnsi="宋体" w:cs="宋体"/>
                <w:kern w:val="0"/>
                <w:szCs w:val="21"/>
              </w:rPr>
            </w:pPr>
            <w:r>
              <w:rPr>
                <w:rFonts w:hint="eastAsia" w:ascii="宋体" w:hAnsi="宋体" w:cs="宋体"/>
                <w:bCs/>
                <w:kern w:val="0"/>
                <w:szCs w:val="21"/>
                <w:lang w:eastAsia="zh-CN"/>
              </w:rPr>
              <w:t>≥</w:t>
            </w:r>
            <w:r>
              <w:rPr>
                <w:rFonts w:hint="eastAsia" w:ascii="宋体" w:hAnsi="宋体" w:cs="宋体"/>
                <w:kern w:val="0"/>
                <w:szCs w:val="21"/>
              </w:rPr>
              <w:t>500</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N.M</w:t>
            </w:r>
          </w:p>
        </w:tc>
        <w:tc>
          <w:tcPr>
            <w:tcW w:w="1276" w:type="dxa"/>
          </w:tcPr>
          <w:p>
            <w:pPr>
              <w:widowControl/>
              <w:jc w:val="center"/>
              <w:rPr>
                <w:rFonts w:ascii="宋体" w:hAnsi="宋体" w:cs="宋体"/>
                <w:kern w:val="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3564" w:type="dxa"/>
            <w:gridSpan w:val="2"/>
            <w:vAlign w:val="center"/>
          </w:tcPr>
          <w:p>
            <w:pPr>
              <w:widowControl/>
              <w:jc w:val="center"/>
              <w:rPr>
                <w:rFonts w:ascii="宋体" w:hAnsi="宋体" w:cs="宋体"/>
                <w:bCs/>
                <w:kern w:val="0"/>
                <w:szCs w:val="21"/>
              </w:rPr>
            </w:pPr>
            <w:r>
              <w:rPr>
                <w:rFonts w:hint="eastAsia" w:ascii="宋体" w:hAnsi="宋体" w:cs="宋体"/>
                <w:bCs/>
                <w:kern w:val="0"/>
                <w:szCs w:val="21"/>
              </w:rPr>
              <w:t>主轴允许最大进给抗力</w:t>
            </w:r>
          </w:p>
        </w:tc>
        <w:tc>
          <w:tcPr>
            <w:tcW w:w="2738" w:type="dxa"/>
            <w:shd w:val="clear" w:color="auto" w:fill="auto"/>
            <w:vAlign w:val="center"/>
          </w:tcPr>
          <w:p>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bCs/>
                <w:kern w:val="0"/>
                <w:szCs w:val="21"/>
                <w:lang w:eastAsia="zh-CN"/>
              </w:rPr>
              <w:t>≥</w:t>
            </w:r>
            <w:r>
              <w:rPr>
                <w:rFonts w:hint="eastAsia" w:ascii="宋体" w:hAnsi="宋体" w:cs="宋体"/>
                <w:color w:val="000000" w:themeColor="text1"/>
                <w:kern w:val="0"/>
                <w:szCs w:val="21"/>
                <w14:textFill>
                  <w14:solidFill>
                    <w14:schemeClr w14:val="tx1"/>
                  </w14:solidFill>
                </w14:textFill>
              </w:rPr>
              <w:t>18000</w:t>
            </w:r>
          </w:p>
        </w:tc>
        <w:tc>
          <w:tcPr>
            <w:tcW w:w="1276" w:type="dxa"/>
            <w:vAlign w:val="center"/>
          </w:tcPr>
          <w:p>
            <w:pPr>
              <w:widowControl/>
              <w:jc w:val="center"/>
              <w:rPr>
                <w:rFonts w:ascii="宋体" w:hAnsi="宋体" w:cs="宋体"/>
                <w:kern w:val="0"/>
                <w:szCs w:val="21"/>
              </w:rPr>
            </w:pPr>
            <w:r>
              <w:rPr>
                <w:rFonts w:hint="eastAsia" w:ascii="宋体" w:hAnsi="宋体" w:cs="宋体"/>
                <w:kern w:val="0"/>
                <w:szCs w:val="21"/>
              </w:rPr>
              <w:t>N</w:t>
            </w:r>
          </w:p>
        </w:tc>
        <w:tc>
          <w:tcPr>
            <w:tcW w:w="1276" w:type="dxa"/>
          </w:tcPr>
          <w:p>
            <w:pPr>
              <w:widowControl/>
              <w:jc w:val="center"/>
              <w:rPr>
                <w:rFonts w:ascii="宋体" w:hAnsi="宋体" w:cs="宋体"/>
                <w:kern w:val="0"/>
                <w:szCs w:val="21"/>
              </w:rPr>
            </w:pPr>
          </w:p>
        </w:tc>
      </w:tr>
    </w:tbl>
    <w:p>
      <w:pPr>
        <w:pStyle w:val="2"/>
        <w:numPr>
          <w:ilvl w:val="0"/>
          <w:numId w:val="4"/>
        </w:numPr>
        <w:ind w:left="0" w:leftChars="0" w:firstLine="480" w:firstLineChars="200"/>
        <w:rPr>
          <w:rFonts w:hint="eastAsia" w:ascii="宋体"/>
          <w:color w:val="0000FF"/>
          <w:szCs w:val="21"/>
          <w:lang w:val="en-US" w:eastAsia="zh-CN"/>
        </w:rPr>
      </w:pPr>
      <w:r>
        <w:rPr>
          <w:rFonts w:hint="eastAsia" w:ascii="宋体"/>
          <w:color w:val="0000FF"/>
          <w:szCs w:val="21"/>
          <w:lang w:val="en-US" w:eastAsia="zh-CN"/>
        </w:rPr>
        <w:t>走心机</w:t>
      </w:r>
    </w:p>
    <w:p>
      <w:pPr>
        <w:numPr>
          <w:ilvl w:val="0"/>
          <w:numId w:val="0"/>
        </w:numPr>
        <w:rPr>
          <w:rFonts w:hint="eastAsia" w:ascii="华文楷体" w:hAnsi="华文楷体" w:eastAsia="华文楷体" w:cs="华文楷体"/>
          <w:b/>
          <w:sz w:val="21"/>
          <w:szCs w:val="21"/>
          <w:lang w:val="en-US" w:eastAsia="zh-CN"/>
        </w:rPr>
      </w:pPr>
      <w:r>
        <w:rPr>
          <w:rFonts w:hint="eastAsia" w:ascii="华文楷体" w:hAnsi="华文楷体" w:eastAsia="华文楷体" w:cs="华文楷体"/>
          <w:b/>
          <w:sz w:val="21"/>
          <w:szCs w:val="21"/>
          <w:lang w:val="en-US" w:eastAsia="zh-CN"/>
        </w:rPr>
        <w:t>机床特点:</w:t>
      </w:r>
    </w:p>
    <w:p>
      <w:pPr>
        <w:pStyle w:val="4"/>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425" w:right="0" w:hanging="425"/>
        <w:jc w:val="left"/>
        <w:rPr>
          <w:rFonts w:hint="eastAsia" w:ascii="华文楷体" w:hAnsi="华文楷体" w:eastAsia="华文楷体" w:cs="华文楷体"/>
          <w:color w:val="auto"/>
          <w:sz w:val="21"/>
          <w:szCs w:val="21"/>
          <w:u w:val="none"/>
        </w:rPr>
      </w:pPr>
      <w:r>
        <w:rPr>
          <w:rFonts w:hint="eastAsia" w:ascii="华文楷体" w:hAnsi="华文楷体" w:eastAsia="华文楷体" w:cs="华文楷体"/>
          <w:color w:val="auto"/>
          <w:sz w:val="21"/>
          <w:szCs w:val="21"/>
          <w:u w:val="none"/>
          <w:lang w:eastAsia="zh-CN"/>
        </w:rPr>
        <w:t>主轴</w:t>
      </w:r>
      <w:r>
        <w:rPr>
          <w:rFonts w:hint="eastAsia" w:ascii="华文楷体" w:hAnsi="华文楷体" w:eastAsia="华文楷体" w:cs="华文楷体"/>
          <w:color w:val="auto"/>
          <w:sz w:val="21"/>
          <w:szCs w:val="21"/>
          <w:u w:val="none"/>
          <w:lang w:val="en-US" w:eastAsia="zh-CN"/>
        </w:rPr>
        <w:t>C轴标配，功能齐全，性能卓越。</w:t>
      </w:r>
    </w:p>
    <w:p>
      <w:pPr>
        <w:pStyle w:val="4"/>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425" w:right="0" w:hanging="425"/>
        <w:jc w:val="left"/>
        <w:rPr>
          <w:rFonts w:hint="eastAsia" w:ascii="华文楷体" w:hAnsi="华文楷体" w:eastAsia="华文楷体" w:cs="华文楷体"/>
          <w:color w:val="auto"/>
          <w:sz w:val="21"/>
          <w:szCs w:val="21"/>
          <w:u w:val="none"/>
        </w:rPr>
      </w:pPr>
      <w:r>
        <w:rPr>
          <w:rFonts w:hint="eastAsia" w:ascii="华文楷体" w:hAnsi="华文楷体" w:eastAsia="华文楷体" w:cs="华文楷体"/>
          <w:color w:val="auto"/>
          <w:sz w:val="21"/>
          <w:szCs w:val="21"/>
          <w:u w:val="none"/>
        </w:rPr>
        <w:t>无导套、固定导套自由选择，省料高收益。选配电导套、联动导套，效益更佳。</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right="0" w:rightChars="0"/>
        <w:jc w:val="left"/>
        <w:rPr>
          <w:rFonts w:hint="eastAsia" w:ascii="华文楷体" w:hAnsi="华文楷体" w:eastAsia="华文楷体" w:cs="华文楷体"/>
          <w:b w:val="0"/>
          <w:bCs/>
          <w:sz w:val="21"/>
          <w:szCs w:val="21"/>
          <w:vertAlign w:val="baseline"/>
          <w:lang w:val="en-US" w:eastAsia="zh-CN"/>
        </w:rPr>
      </w:pPr>
      <w:r>
        <w:rPr>
          <w:rFonts w:hint="eastAsia" w:ascii="华文楷体" w:hAnsi="华文楷体" w:eastAsia="华文楷体" w:cs="华文楷体"/>
          <w:color w:val="auto"/>
          <w:sz w:val="21"/>
          <w:szCs w:val="21"/>
          <w:u w:val="none"/>
          <w:lang w:val="en-US" w:eastAsia="zh-CN"/>
        </w:rPr>
        <w:t>3</w:t>
      </w:r>
      <w:r>
        <w:rPr>
          <w:rFonts w:hint="eastAsia" w:ascii="华文楷体" w:hAnsi="华文楷体" w:eastAsia="华文楷体" w:cs="华文楷体"/>
          <w:color w:val="auto"/>
          <w:sz w:val="21"/>
          <w:szCs w:val="21"/>
          <w:u w:val="none"/>
        </w:rPr>
        <w:t>.</w:t>
      </w:r>
      <w:r>
        <w:rPr>
          <w:rFonts w:hint="eastAsia" w:ascii="华文楷体" w:hAnsi="华文楷体" w:eastAsia="华文楷体" w:cs="华文楷体"/>
          <w:color w:val="auto"/>
          <w:sz w:val="21"/>
          <w:szCs w:val="21"/>
          <w:u w:val="none"/>
          <w:lang w:eastAsia="zh-CN"/>
        </w:rPr>
        <w:t>动力头装置</w:t>
      </w:r>
      <w:r>
        <w:rPr>
          <w:rFonts w:hint="eastAsia" w:ascii="华文楷体" w:hAnsi="华文楷体" w:eastAsia="华文楷体" w:cs="华文楷体"/>
          <w:b w:val="0"/>
          <w:bCs/>
          <w:sz w:val="21"/>
          <w:szCs w:val="21"/>
          <w:vertAlign w:val="baseline"/>
          <w:lang w:val="en-US" w:eastAsia="zh-CN"/>
        </w:rPr>
        <w:t>2支固定动力头+2个拔插孔位（可根据零件需求自由转换端/侧面）</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right="0" w:rightChars="0"/>
        <w:jc w:val="left"/>
        <w:rPr>
          <w:rFonts w:hint="eastAsia" w:ascii="华文楷体" w:hAnsi="华文楷体" w:eastAsia="华文楷体" w:cs="华文楷体"/>
          <w:color w:val="auto"/>
          <w:sz w:val="21"/>
          <w:szCs w:val="21"/>
          <w:u w:val="none"/>
          <w:lang w:eastAsia="zh-CN"/>
        </w:rPr>
      </w:pPr>
      <w:r>
        <w:rPr>
          <w:rFonts w:hint="eastAsia" w:ascii="华文楷体" w:hAnsi="华文楷体" w:eastAsia="华文楷体" w:cs="华文楷体"/>
          <w:color w:val="auto"/>
          <w:sz w:val="21"/>
          <w:szCs w:val="21"/>
          <w:u w:val="none"/>
          <w:lang w:val="en-US" w:eastAsia="zh-CN"/>
        </w:rPr>
        <w:t>4</w:t>
      </w:r>
      <w:r>
        <w:rPr>
          <w:rFonts w:hint="eastAsia" w:ascii="华文楷体" w:hAnsi="华文楷体" w:eastAsia="华文楷体" w:cs="华文楷体"/>
          <w:color w:val="auto"/>
          <w:sz w:val="21"/>
          <w:szCs w:val="21"/>
          <w:u w:val="none"/>
        </w:rPr>
        <w:t>.主轴油冷式电主轴，高速下无死角冷却，比普通风冷却电主轴散热更均匀，性能更强。</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right="0" w:rightChars="0"/>
        <w:jc w:val="left"/>
        <w:rPr>
          <w:rFonts w:hint="eastAsia" w:ascii="华文楷体" w:hAnsi="华文楷体" w:eastAsia="华文楷体" w:cs="华文楷体"/>
          <w:color w:val="auto"/>
          <w:sz w:val="21"/>
          <w:szCs w:val="21"/>
          <w:u w:val="none"/>
          <w:lang w:eastAsia="zh-CN"/>
        </w:rPr>
      </w:pPr>
      <w:r>
        <w:rPr>
          <w:rFonts w:hint="eastAsia" w:ascii="华文楷体" w:hAnsi="华文楷体" w:eastAsia="华文楷体" w:cs="华文楷体"/>
          <w:color w:val="auto"/>
          <w:sz w:val="21"/>
          <w:szCs w:val="21"/>
          <w:u w:val="none"/>
          <w:lang w:val="en-US" w:eastAsia="zh-CN"/>
        </w:rPr>
        <w:t>5</w:t>
      </w:r>
      <w:r>
        <w:rPr>
          <w:rFonts w:hint="eastAsia" w:ascii="华文楷体" w:hAnsi="华文楷体" w:eastAsia="华文楷体" w:cs="华文楷体"/>
          <w:color w:val="auto"/>
          <w:sz w:val="21"/>
          <w:szCs w:val="21"/>
          <w:u w:val="none"/>
        </w:rPr>
        <w:t>.本机采用绝对式操作，开关机无需回原点，省时省事省人工。</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right="0" w:rightChars="0"/>
        <w:jc w:val="left"/>
        <w:rPr>
          <w:rFonts w:hint="eastAsia" w:ascii="华文楷体" w:hAnsi="华文楷体" w:eastAsia="华文楷体" w:cs="华文楷体"/>
          <w:color w:val="auto"/>
          <w:sz w:val="21"/>
          <w:szCs w:val="21"/>
          <w:u w:val="none"/>
          <w:lang w:eastAsia="zh-CN"/>
        </w:rPr>
      </w:pPr>
      <w:r>
        <w:rPr>
          <w:rFonts w:hint="eastAsia" w:ascii="华文楷体" w:hAnsi="华文楷体" w:eastAsia="华文楷体" w:cs="华文楷体"/>
          <w:color w:val="auto"/>
          <w:sz w:val="21"/>
          <w:szCs w:val="21"/>
          <w:u w:val="none"/>
          <w:lang w:val="en-US" w:eastAsia="zh-CN"/>
        </w:rPr>
        <w:t>6</w:t>
      </w:r>
      <w:r>
        <w:rPr>
          <w:rFonts w:hint="eastAsia" w:ascii="华文楷体" w:hAnsi="华文楷体" w:eastAsia="华文楷体" w:cs="华文楷体"/>
          <w:color w:val="auto"/>
          <w:sz w:val="21"/>
          <w:szCs w:val="21"/>
          <w:u w:val="none"/>
        </w:rPr>
        <w:t>.24小时不断电，高效率，省人工</w:t>
      </w:r>
      <w:r>
        <w:rPr>
          <w:rFonts w:hint="eastAsia" w:ascii="华文楷体" w:hAnsi="华文楷体" w:eastAsia="华文楷体" w:cs="华文楷体"/>
          <w:color w:val="auto"/>
          <w:sz w:val="21"/>
          <w:szCs w:val="21"/>
          <w:u w:val="none"/>
          <w:lang w:eastAsia="zh-CN"/>
        </w:rPr>
        <w:t>。</w:t>
      </w:r>
    </w:p>
    <w:p>
      <w:pPr>
        <w:keepNext w:val="0"/>
        <w:keepLines w:val="0"/>
        <w:pageBreakBefore w:val="0"/>
        <w:widowControl w:val="0"/>
        <w:shd w:val="solid" w:color="FFFFFF" w:fill="auto"/>
        <w:kinsoku/>
        <w:wordWrap/>
        <w:overflowPunct/>
        <w:topLinePunct w:val="0"/>
        <w:autoSpaceDE/>
        <w:autoSpaceDN w:val="0"/>
        <w:bidi w:val="0"/>
        <w:adjustRightInd/>
        <w:snapToGrid/>
        <w:spacing w:line="240" w:lineRule="auto"/>
        <w:ind w:left="0" w:leftChars="0" w:right="0" w:rightChars="0" w:firstLine="0" w:firstLineChars="0"/>
        <w:jc w:val="left"/>
        <w:textAlignment w:val="auto"/>
        <w:outlineLvl w:val="9"/>
        <w:rPr>
          <w:rFonts w:hint="eastAsia" w:ascii="华文楷体" w:hAnsi="华文楷体" w:eastAsia="华文楷体" w:cs="华文楷体"/>
          <w:color w:val="auto"/>
          <w:sz w:val="21"/>
          <w:szCs w:val="21"/>
          <w:u w:val="none"/>
          <w:lang w:eastAsia="zh-CN"/>
        </w:rPr>
      </w:pPr>
      <w:r>
        <w:rPr>
          <w:rFonts w:hint="eastAsia" w:ascii="华文楷体" w:hAnsi="华文楷体" w:eastAsia="华文楷体" w:cs="华文楷体"/>
          <w:b/>
          <w:bCs/>
          <w:sz w:val="21"/>
          <w:szCs w:val="21"/>
        </w:rPr>
        <w:t>机</w:t>
      </w:r>
      <w:r>
        <w:rPr>
          <w:rFonts w:hint="eastAsia" w:ascii="华文楷体" w:hAnsi="华文楷体" w:eastAsia="华文楷体" w:cs="华文楷体"/>
          <w:b/>
          <w:bCs/>
          <w:sz w:val="21"/>
          <w:szCs w:val="21"/>
          <w:lang w:eastAsia="zh-CN"/>
        </w:rPr>
        <w:t>床</w:t>
      </w:r>
      <w:r>
        <w:rPr>
          <w:rFonts w:hint="eastAsia" w:ascii="华文楷体" w:hAnsi="华文楷体" w:eastAsia="华文楷体" w:cs="华文楷体"/>
          <w:b/>
          <w:bCs/>
          <w:sz w:val="21"/>
          <w:szCs w:val="21"/>
        </w:rPr>
        <w:t>功能</w:t>
      </w:r>
      <w:r>
        <w:rPr>
          <w:rFonts w:hint="eastAsia" w:ascii="华文楷体" w:hAnsi="华文楷体" w:eastAsia="华文楷体" w:cs="华文楷体"/>
          <w:sz w:val="21"/>
          <w:szCs w:val="21"/>
        </w:rPr>
        <w:t>：</w:t>
      </w:r>
      <w:r>
        <w:rPr>
          <w:rFonts w:hint="eastAsia" w:ascii="华文楷体" w:hAnsi="华文楷体" w:eastAsia="华文楷体" w:cs="华文楷体"/>
          <w:sz w:val="21"/>
          <w:szCs w:val="21"/>
          <w:lang w:val="en-US" w:eastAsia="zh-CN"/>
        </w:rPr>
        <w:t>数控走心机</w:t>
      </w:r>
      <w:r>
        <w:rPr>
          <w:rFonts w:hint="eastAsia" w:ascii="华文楷体" w:hAnsi="华文楷体" w:eastAsia="华文楷体" w:cs="华文楷体"/>
          <w:color w:val="auto"/>
          <w:sz w:val="21"/>
          <w:szCs w:val="21"/>
          <w:lang w:eastAsia="zh-CN"/>
        </w:rPr>
        <w:t>可</w:t>
      </w:r>
      <w:r>
        <w:rPr>
          <w:rFonts w:hint="eastAsia" w:ascii="华文楷体" w:hAnsi="华文楷体" w:eastAsia="华文楷体" w:cs="华文楷体"/>
          <w:color w:val="auto"/>
          <w:sz w:val="21"/>
          <w:szCs w:val="21"/>
        </w:rPr>
        <w:t>自动完成对碳钢、不锈钢</w:t>
      </w:r>
      <w:r>
        <w:rPr>
          <w:rFonts w:hint="eastAsia" w:ascii="华文楷体" w:hAnsi="华文楷体" w:eastAsia="华文楷体" w:cs="华文楷体"/>
          <w:color w:val="auto"/>
          <w:sz w:val="21"/>
          <w:szCs w:val="21"/>
          <w:lang w:eastAsia="zh-CN"/>
        </w:rPr>
        <w:t>、</w:t>
      </w:r>
      <w:r>
        <w:rPr>
          <w:rFonts w:hint="eastAsia" w:ascii="华文楷体" w:hAnsi="华文楷体" w:eastAsia="华文楷体" w:cs="华文楷体"/>
          <w:color w:val="auto"/>
          <w:sz w:val="21"/>
          <w:szCs w:val="21"/>
        </w:rPr>
        <w:t>铜</w:t>
      </w:r>
      <w:r>
        <w:rPr>
          <w:rFonts w:hint="eastAsia" w:ascii="华文楷体" w:hAnsi="华文楷体" w:eastAsia="华文楷体" w:cs="华文楷体"/>
          <w:color w:val="auto"/>
          <w:sz w:val="21"/>
          <w:szCs w:val="21"/>
          <w:lang w:eastAsia="zh-CN"/>
        </w:rPr>
        <w:t>、钛、钼</w:t>
      </w:r>
      <w:r>
        <w:rPr>
          <w:rFonts w:hint="eastAsia" w:ascii="华文楷体" w:hAnsi="华文楷体" w:eastAsia="华文楷体" w:cs="华文楷体"/>
          <w:color w:val="auto"/>
          <w:sz w:val="21"/>
          <w:szCs w:val="21"/>
        </w:rPr>
        <w:t>等材质轴类零件的车外圆、正面钻孔、正面攻丝、正面镗孔、车螺纹、切槽、横钻孔、铣方、铣槽、径向攻丝、切断等</w:t>
      </w:r>
      <w:r>
        <w:rPr>
          <w:rFonts w:hint="eastAsia" w:ascii="华文楷体" w:hAnsi="华文楷体" w:eastAsia="华文楷体" w:cs="华文楷体"/>
          <w:sz w:val="21"/>
          <w:szCs w:val="21"/>
        </w:rPr>
        <w:t>多项复合加工工序</w:t>
      </w:r>
      <w:r>
        <w:rPr>
          <w:rFonts w:hint="eastAsia" w:ascii="华文楷体" w:hAnsi="华文楷体" w:eastAsia="华文楷体" w:cs="华文楷体"/>
          <w:color w:val="auto"/>
          <w:sz w:val="21"/>
          <w:szCs w:val="21"/>
          <w:lang w:val="en-US" w:eastAsia="zh-CN"/>
        </w:rPr>
        <w:t>。</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right="0" w:rightChars="0"/>
        <w:jc w:val="left"/>
        <w:rPr>
          <w:rFonts w:hint="eastAsia" w:ascii="华文楷体" w:hAnsi="华文楷体" w:eastAsia="华文楷体" w:cs="华文楷体"/>
          <w:color w:val="auto"/>
          <w:sz w:val="21"/>
          <w:szCs w:val="21"/>
          <w:u w:val="none"/>
          <w:lang w:eastAsia="zh-CN"/>
        </w:rPr>
      </w:pPr>
    </w:p>
    <w:p>
      <w:pPr>
        <w:pStyle w:val="2"/>
        <w:numPr>
          <w:ilvl w:val="0"/>
          <w:numId w:val="0"/>
        </w:numPr>
        <w:ind w:leftChars="200"/>
        <w:rPr>
          <w:rFonts w:hint="eastAsia" w:ascii="宋体"/>
          <w:szCs w:val="21"/>
          <w:lang w:val="en-US" w:eastAsia="zh-CN"/>
        </w:rPr>
      </w:pPr>
    </w:p>
    <w:tbl>
      <w:tblPr>
        <w:tblStyle w:val="5"/>
        <w:tblW w:w="86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7"/>
        <w:gridCol w:w="2273"/>
        <w:gridCol w:w="2010"/>
        <w:gridCol w:w="2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5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双主轴数控走心机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5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系统</w:t>
            </w: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台湾新代</w:t>
            </w:r>
          </w:p>
        </w:tc>
        <w:tc>
          <w:tcPr>
            <w:tcW w:w="4922"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Syntec210TB-A或其他系统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控制通道</w:t>
            </w:r>
          </w:p>
        </w:tc>
        <w:tc>
          <w:tcPr>
            <w:tcW w:w="492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双通道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最小设定单位</w:t>
            </w:r>
          </w:p>
        </w:tc>
        <w:tc>
          <w:tcPr>
            <w:tcW w:w="492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1470" w:firstLineChars="700"/>
              <w:jc w:val="both"/>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≤0.001mm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加工能力</w:t>
            </w:r>
          </w:p>
        </w:tc>
        <w:tc>
          <w:tcPr>
            <w:tcW w:w="2273"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最大加工直径</w:t>
            </w:r>
          </w:p>
        </w:tc>
        <w:tc>
          <w:tcPr>
            <w:tcW w:w="492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≥25 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vMerge w:val="restar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单次最大送料长度</w:t>
            </w:r>
          </w:p>
        </w:tc>
        <w:tc>
          <w:tcPr>
            <w:tcW w:w="201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有导套</w:t>
            </w:r>
          </w:p>
        </w:tc>
        <w:tc>
          <w:tcPr>
            <w:tcW w:w="29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≥195mm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01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无导套</w:t>
            </w:r>
          </w:p>
        </w:tc>
        <w:tc>
          <w:tcPr>
            <w:tcW w:w="29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≥1:2.5D（直径:长度）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主轴最大钻孔直径</w:t>
            </w:r>
          </w:p>
        </w:tc>
        <w:tc>
          <w:tcPr>
            <w:tcW w:w="201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主轴轴向</w:t>
            </w:r>
          </w:p>
        </w:tc>
        <w:tc>
          <w:tcPr>
            <w:tcW w:w="29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≥Φ10mm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主轴最大攻丝直径</w:t>
            </w:r>
          </w:p>
        </w:tc>
        <w:tc>
          <w:tcPr>
            <w:tcW w:w="201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主轴轴向</w:t>
            </w:r>
          </w:p>
        </w:tc>
        <w:tc>
          <w:tcPr>
            <w:tcW w:w="29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≥M8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动力头最大钻孔直径</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径向</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bookmarkStart w:id="0" w:name="_GoBack"/>
            <w:bookmarkEnd w:id="0"/>
            <w:r>
              <w:rPr>
                <w:rFonts w:hint="eastAsia" w:ascii="华文楷体" w:hAnsi="华文楷体" w:eastAsia="华文楷体" w:cs="华文楷体"/>
                <w:i w:val="0"/>
                <w:iCs w:val="0"/>
                <w:color w:val="auto"/>
                <w:kern w:val="0"/>
                <w:sz w:val="21"/>
                <w:szCs w:val="21"/>
                <w:u w:val="none"/>
                <w:lang w:val="en-US" w:eastAsia="zh-CN" w:bidi="ar"/>
              </w:rPr>
              <w:t>≥Φ8mm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动力头最大攻丝直径</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径向</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≥M6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副轴最大钻孔直径</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副轴轴向</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≥Φ8mm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副轴最大攻丝直径</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副轴轴向</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auto"/>
                <w:sz w:val="21"/>
                <w:szCs w:val="21"/>
                <w:u w:val="none"/>
                <w:lang w:val="en-US"/>
              </w:rPr>
            </w:pPr>
            <w:r>
              <w:rPr>
                <w:rFonts w:hint="eastAsia" w:ascii="华文楷体" w:hAnsi="华文楷体" w:eastAsia="华文楷体" w:cs="华文楷体"/>
                <w:i w:val="0"/>
                <w:iCs w:val="0"/>
                <w:color w:val="auto"/>
                <w:kern w:val="0"/>
                <w:sz w:val="21"/>
                <w:szCs w:val="21"/>
                <w:u w:val="none"/>
                <w:lang w:val="en-US" w:eastAsia="zh-CN" w:bidi="ar"/>
              </w:rPr>
              <w:t>≥M6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刀具</w:t>
            </w: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排刀结构</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上排刀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主轴车刀</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 xml:space="preserve">6把 </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1把16X16mm+5把12X12mm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主轴侧面动力头</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 xml:space="preserve">4支 </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2支ER11+2支ER16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主轴端面固定座</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 xml:space="preserve">4支 </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ER11/ER16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副轴端面固定座</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 xml:space="preserve">4支 </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ER11/ER16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w:t>
            </w: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主/副轴类型</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内藏油冷式电主轴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主/副轴转速</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≥10000rpm/min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主/副轴分度</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主/副轴通孔直径</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≥26mm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主/副轴中心高度</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≥1018.5mm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电机功率</w:t>
            </w: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主轴功率(额定/最大）</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2.5kw/3.7kw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副轴功率(额定/最大）</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2.5kw/3.7kw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侧面动力头电机功率</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0.75kw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侧面动力头转速</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auto"/>
                <w:sz w:val="21"/>
                <w:szCs w:val="21"/>
                <w:u w:val="none"/>
                <w:lang w:val="en-US"/>
              </w:rPr>
            </w:pPr>
            <w:r>
              <w:rPr>
                <w:rFonts w:hint="eastAsia" w:ascii="华文楷体" w:hAnsi="华文楷体" w:eastAsia="华文楷体" w:cs="华文楷体"/>
                <w:i w:val="0"/>
                <w:iCs w:val="0"/>
                <w:color w:val="auto"/>
                <w:kern w:val="0"/>
                <w:sz w:val="21"/>
                <w:szCs w:val="21"/>
                <w:u w:val="none"/>
                <w:lang w:val="en-US" w:eastAsia="zh-CN" w:bidi="ar"/>
              </w:rPr>
              <w:t>ER11*2支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kern w:val="0"/>
                <w:sz w:val="21"/>
                <w:szCs w:val="21"/>
                <w:u w:val="none"/>
                <w:lang w:val="en-US" w:eastAsia="zh-CN" w:bidi="ar"/>
              </w:rPr>
            </w:pPr>
            <w:r>
              <w:rPr>
                <w:rFonts w:hint="eastAsia" w:ascii="华文楷体" w:hAnsi="华文楷体" w:eastAsia="华文楷体" w:cs="华文楷体"/>
                <w:i w:val="0"/>
                <w:iCs w:val="0"/>
                <w:color w:val="auto"/>
                <w:kern w:val="0"/>
                <w:sz w:val="21"/>
                <w:szCs w:val="21"/>
                <w:u w:val="none"/>
                <w:lang w:val="en-US" w:eastAsia="zh-CN" w:bidi="ar"/>
              </w:rPr>
              <w:t>≥10000rpm/min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kern w:val="0"/>
                <w:sz w:val="21"/>
                <w:szCs w:val="21"/>
                <w:u w:val="none"/>
                <w:lang w:val="en-US" w:eastAsia="zh-CN" w:bidi="ar"/>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华文楷体" w:hAnsi="华文楷体" w:eastAsia="华文楷体" w:cs="华文楷体"/>
                <w:i w:val="0"/>
                <w:iCs w:val="0"/>
                <w:color w:val="auto"/>
                <w:kern w:val="0"/>
                <w:sz w:val="21"/>
                <w:szCs w:val="21"/>
                <w:u w:val="none"/>
                <w:lang w:val="en-US" w:eastAsia="zh-CN" w:bidi="ar"/>
              </w:rPr>
            </w:pPr>
            <w:r>
              <w:rPr>
                <w:rFonts w:hint="eastAsia" w:ascii="华文楷体" w:hAnsi="华文楷体" w:eastAsia="华文楷体" w:cs="华文楷体"/>
                <w:i w:val="0"/>
                <w:iCs w:val="0"/>
                <w:color w:val="auto"/>
                <w:kern w:val="0"/>
                <w:sz w:val="21"/>
                <w:szCs w:val="21"/>
                <w:u w:val="none"/>
                <w:lang w:val="en-US" w:eastAsia="zh-CN" w:bidi="ar"/>
              </w:rPr>
              <w:t>ER16*2支</w:t>
            </w:r>
          </w:p>
        </w:tc>
        <w:tc>
          <w:tcPr>
            <w:tcW w:w="2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kern w:val="0"/>
                <w:sz w:val="21"/>
                <w:szCs w:val="21"/>
                <w:u w:val="none"/>
                <w:lang w:val="en-US" w:eastAsia="zh-CN" w:bidi="ar"/>
              </w:rPr>
            </w:pPr>
            <w:r>
              <w:rPr>
                <w:rFonts w:hint="eastAsia" w:ascii="华文楷体" w:hAnsi="华文楷体" w:eastAsia="华文楷体" w:cs="华文楷体"/>
                <w:i w:val="0"/>
                <w:iCs w:val="0"/>
                <w:color w:val="auto"/>
                <w:kern w:val="0"/>
                <w:sz w:val="21"/>
                <w:szCs w:val="21"/>
                <w:u w:val="none"/>
                <w:lang w:val="en-US" w:eastAsia="zh-CN" w:bidi="ar"/>
              </w:rPr>
              <w:t>≥6000rpm/min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移动轴数</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5轴</w:t>
            </w:r>
          </w:p>
        </w:tc>
        <w:tc>
          <w:tcPr>
            <w:tcW w:w="2912"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Style w:val="15"/>
                <w:rFonts w:hint="eastAsia" w:ascii="华文楷体" w:hAnsi="华文楷体" w:eastAsia="华文楷体" w:cs="华文楷体"/>
                <w:color w:val="auto"/>
                <w:sz w:val="21"/>
                <w:szCs w:val="21"/>
                <w:lang w:val="en-US" w:eastAsia="zh-CN" w:bidi="ar"/>
              </w:rPr>
              <w:t>X</w:t>
            </w:r>
            <w:r>
              <w:rPr>
                <w:rStyle w:val="16"/>
                <w:rFonts w:hint="eastAsia" w:ascii="华文楷体" w:hAnsi="华文楷体" w:eastAsia="华文楷体" w:cs="华文楷体"/>
                <w:color w:val="auto"/>
                <w:sz w:val="21"/>
                <w:szCs w:val="21"/>
                <w:lang w:val="en-US" w:eastAsia="zh-CN" w:bidi="ar"/>
              </w:rPr>
              <w:t>1</w:t>
            </w:r>
            <w:r>
              <w:rPr>
                <w:rStyle w:val="15"/>
                <w:rFonts w:hint="eastAsia" w:ascii="华文楷体" w:hAnsi="华文楷体" w:eastAsia="华文楷体" w:cs="华文楷体"/>
                <w:color w:val="auto"/>
                <w:sz w:val="21"/>
                <w:szCs w:val="21"/>
                <w:lang w:val="en-US" w:eastAsia="zh-CN" w:bidi="ar"/>
              </w:rPr>
              <w:t>、Y</w:t>
            </w:r>
            <w:r>
              <w:rPr>
                <w:rStyle w:val="16"/>
                <w:rFonts w:hint="eastAsia" w:ascii="华文楷体" w:hAnsi="华文楷体" w:eastAsia="华文楷体" w:cs="华文楷体"/>
                <w:color w:val="auto"/>
                <w:sz w:val="21"/>
                <w:szCs w:val="21"/>
                <w:lang w:val="en-US" w:eastAsia="zh-CN" w:bidi="ar"/>
              </w:rPr>
              <w:t>1</w:t>
            </w:r>
            <w:r>
              <w:rPr>
                <w:rStyle w:val="15"/>
                <w:rFonts w:hint="eastAsia" w:ascii="华文楷体" w:hAnsi="华文楷体" w:eastAsia="华文楷体" w:cs="华文楷体"/>
                <w:color w:val="auto"/>
                <w:sz w:val="21"/>
                <w:szCs w:val="21"/>
                <w:lang w:val="en-US" w:eastAsia="zh-CN" w:bidi="ar"/>
              </w:rPr>
              <w:t>、Z</w:t>
            </w:r>
            <w:r>
              <w:rPr>
                <w:rStyle w:val="16"/>
                <w:rFonts w:hint="eastAsia" w:ascii="华文楷体" w:hAnsi="华文楷体" w:eastAsia="华文楷体" w:cs="华文楷体"/>
                <w:color w:val="auto"/>
                <w:sz w:val="21"/>
                <w:szCs w:val="21"/>
                <w:lang w:val="en-US" w:eastAsia="zh-CN" w:bidi="ar"/>
              </w:rPr>
              <w:t>1</w:t>
            </w:r>
            <w:r>
              <w:rPr>
                <w:rStyle w:val="15"/>
                <w:rFonts w:hint="eastAsia" w:ascii="华文楷体" w:hAnsi="华文楷体" w:eastAsia="华文楷体" w:cs="华文楷体"/>
                <w:color w:val="auto"/>
                <w:sz w:val="21"/>
                <w:szCs w:val="21"/>
                <w:lang w:val="en-US" w:eastAsia="zh-CN" w:bidi="ar"/>
              </w:rPr>
              <w:t>、X</w:t>
            </w:r>
            <w:r>
              <w:rPr>
                <w:rStyle w:val="16"/>
                <w:rFonts w:hint="eastAsia" w:ascii="华文楷体" w:hAnsi="华文楷体" w:eastAsia="华文楷体" w:cs="华文楷体"/>
                <w:color w:val="auto"/>
                <w:sz w:val="21"/>
                <w:szCs w:val="21"/>
                <w:lang w:val="en-US" w:eastAsia="zh-CN" w:bidi="ar"/>
              </w:rPr>
              <w:t>2</w:t>
            </w:r>
            <w:r>
              <w:rPr>
                <w:rStyle w:val="15"/>
                <w:rFonts w:hint="eastAsia" w:ascii="华文楷体" w:hAnsi="华文楷体" w:eastAsia="华文楷体" w:cs="华文楷体"/>
                <w:color w:val="auto"/>
                <w:sz w:val="21"/>
                <w:szCs w:val="21"/>
                <w:lang w:val="en-US" w:eastAsia="zh-CN" w:bidi="ar"/>
              </w:rPr>
              <w:t>、Z</w:t>
            </w:r>
            <w:r>
              <w:rPr>
                <w:rStyle w:val="16"/>
                <w:rFonts w:hint="eastAsia" w:ascii="华文楷体" w:hAnsi="华文楷体" w:eastAsia="华文楷体" w:cs="华文楷体"/>
                <w:color w:val="auto"/>
                <w:sz w:val="21"/>
                <w:szCs w:val="21"/>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最快移动速度</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X1</w:t>
            </w:r>
          </w:p>
        </w:tc>
        <w:tc>
          <w:tcPr>
            <w:tcW w:w="2912"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≥24m/min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Y1、Z1、X2、Z2</w:t>
            </w:r>
          </w:p>
        </w:tc>
        <w:tc>
          <w:tcPr>
            <w:tcW w:w="2912"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≥32m/min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移动轴电机功率</w:t>
            </w:r>
          </w:p>
        </w:tc>
        <w:tc>
          <w:tcPr>
            <w:tcW w:w="492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0.75kw各个生产厂家确定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其他</w:t>
            </w:r>
          </w:p>
        </w:tc>
        <w:tc>
          <w:tcPr>
            <w:tcW w:w="22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接料机构</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短料</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传输带接料排出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4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27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华文楷体" w:hAnsi="华文楷体" w:eastAsia="华文楷体" w:cs="华文楷体"/>
                <w:i w:val="0"/>
                <w:iCs w:val="0"/>
                <w:color w:val="auto"/>
                <w:sz w:val="21"/>
                <w:szCs w:val="21"/>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长料</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华文楷体" w:hAnsi="华文楷体" w:eastAsia="华文楷体" w:cs="华文楷体"/>
                <w:i w:val="0"/>
                <w:iCs w:val="0"/>
                <w:color w:val="auto"/>
                <w:sz w:val="21"/>
                <w:szCs w:val="21"/>
                <w:u w:val="none"/>
              </w:rPr>
            </w:pPr>
            <w:r>
              <w:rPr>
                <w:rFonts w:hint="eastAsia" w:ascii="华文楷体" w:hAnsi="华文楷体" w:eastAsia="华文楷体" w:cs="华文楷体"/>
                <w:i w:val="0"/>
                <w:iCs w:val="0"/>
                <w:color w:val="auto"/>
                <w:kern w:val="0"/>
                <w:sz w:val="21"/>
                <w:szCs w:val="21"/>
                <w:u w:val="none"/>
                <w:lang w:val="en-US" w:eastAsia="zh-CN" w:bidi="ar"/>
              </w:rPr>
              <w:t>副主轴后方排出</w:t>
            </w:r>
          </w:p>
        </w:tc>
      </w:tr>
    </w:tbl>
    <w:p>
      <w:pPr>
        <w:pStyle w:val="2"/>
        <w:numPr>
          <w:ilvl w:val="0"/>
          <w:numId w:val="0"/>
        </w:numPr>
        <w:ind w:leftChars="200"/>
        <w:rPr>
          <w:rFonts w:hint="eastAsia" w:ascii="宋体"/>
          <w:color w:val="FF0000"/>
          <w:szCs w:val="21"/>
          <w:lang w:val="en-US" w:eastAsia="zh-CN"/>
        </w:rPr>
      </w:pPr>
      <w:r>
        <w:rPr>
          <w:rFonts w:hint="eastAsia" w:ascii="宋体"/>
          <w:color w:val="FF0000"/>
          <w:szCs w:val="21"/>
          <w:lang w:val="en-US" w:eastAsia="zh-CN"/>
        </w:rPr>
        <w:t>同时要带上料机。</w:t>
      </w:r>
    </w:p>
    <w:p>
      <w:pPr>
        <w:pStyle w:val="2"/>
        <w:numPr>
          <w:ilvl w:val="0"/>
          <w:numId w:val="4"/>
        </w:numPr>
        <w:ind w:left="0" w:leftChars="0" w:firstLine="480" w:firstLineChars="200"/>
        <w:rPr>
          <w:rFonts w:hint="eastAsia" w:ascii="宋体"/>
          <w:color w:val="0000FF"/>
          <w:szCs w:val="21"/>
          <w:lang w:val="en-US" w:eastAsia="zh-CN"/>
        </w:rPr>
      </w:pPr>
      <w:r>
        <w:rPr>
          <w:rFonts w:hint="eastAsia" w:ascii="宋体"/>
          <w:color w:val="0000FF"/>
          <w:szCs w:val="21"/>
          <w:lang w:val="en-US" w:eastAsia="zh-CN"/>
        </w:rPr>
        <w:t>外圆磨</w:t>
      </w:r>
    </w:p>
    <w:p>
      <w:pPr>
        <w:pStyle w:val="2"/>
        <w:numPr>
          <w:ilvl w:val="0"/>
          <w:numId w:val="0"/>
        </w:numPr>
        <w:ind w:leftChars="200"/>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主要用途</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本机床适宜于磨削内、外圆柱形、圆锥形的工件，最适宜单件小批和成批生产车间及工具机修车间使用</w:t>
      </w:r>
      <w:r>
        <w:rPr>
          <w:rFonts w:hint="eastAsia" w:ascii="宋体" w:hAnsi="宋体" w:eastAsia="宋体" w:cs="宋体"/>
          <w:b w:val="0"/>
          <w:bCs w:val="0"/>
          <w:color w:val="000000" w:themeColor="text1"/>
          <w:sz w:val="24"/>
          <w:szCs w:val="24"/>
          <w:lang w:eastAsia="zh-CN"/>
          <w14:textFill>
            <w14:solidFill>
              <w14:schemeClr w14:val="tx1"/>
            </w14:solidFill>
          </w14:textFill>
        </w:rPr>
        <w:t>；</w:t>
      </w:r>
    </w:p>
    <w:p>
      <w:pPr>
        <w:pStyle w:val="3"/>
        <w:spacing w:line="480" w:lineRule="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结构特征：</w:t>
      </w:r>
    </w:p>
    <w:p>
      <w:pP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a、工作台纵向移动具有液动和手动两种方式；</w:t>
      </w:r>
    </w:p>
    <w:p>
      <w:pP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b、砂轮架横向具有液压快速进退、半自动周期进给和手动进给等方式。</w:t>
      </w:r>
    </w:p>
    <w:p>
      <w:pPr>
        <w:pStyle w:val="3"/>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c、本机床导轨机床刚性</w:t>
      </w:r>
      <w:r>
        <w:rPr>
          <w:rFonts w:hint="eastAsia" w:ascii="宋体" w:hAnsi="宋体" w:eastAsia="宋体" w:cs="宋体"/>
          <w:b w:val="0"/>
          <w:bCs w:val="0"/>
          <w:color w:val="000000" w:themeColor="text1"/>
          <w:sz w:val="24"/>
          <w:szCs w:val="24"/>
          <w:lang w:eastAsia="zh-CN"/>
          <w14:textFill>
            <w14:solidFill>
              <w14:schemeClr w14:val="tx1"/>
            </w14:solidFill>
          </w14:textFill>
        </w:rPr>
        <w:t>要</w:t>
      </w:r>
      <w:r>
        <w:rPr>
          <w:rFonts w:hint="eastAsia" w:ascii="宋体" w:hAnsi="宋体" w:eastAsia="宋体" w:cs="宋体"/>
          <w:b w:val="0"/>
          <w:bCs w:val="0"/>
          <w:color w:val="000000" w:themeColor="text1"/>
          <w:sz w:val="24"/>
          <w:szCs w:val="24"/>
          <w14:textFill>
            <w14:solidFill>
              <w14:schemeClr w14:val="tx1"/>
            </w14:solidFill>
          </w14:textFill>
        </w:rPr>
        <w:t>好。</w:t>
      </w:r>
      <w:r>
        <w:rPr>
          <w:rFonts w:hint="eastAsia" w:ascii="宋体" w:hAnsi="宋体" w:eastAsia="宋体" w:cs="宋体"/>
          <w:b w:val="0"/>
          <w:bCs w:val="0"/>
          <w:color w:val="000000" w:themeColor="text1"/>
          <w:sz w:val="24"/>
          <w:szCs w:val="24"/>
          <w14:textFill>
            <w14:solidFill>
              <w14:schemeClr w14:val="tx1"/>
            </w14:solidFill>
          </w14:textFill>
        </w:rPr>
        <w:tab/>
      </w:r>
    </w:p>
    <w:p>
      <w:pPr>
        <w:pStyle w:val="3"/>
        <w:spacing w:line="480" w:lineRule="auto"/>
        <w:rPr>
          <w:rFonts w:ascii="方正姚体" w:hAnsi="新宋体" w:eastAsia="方正姚体"/>
          <w:b/>
          <w:bCs/>
          <w:color w:val="000000" w:themeColor="text1"/>
          <w:sz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主要技术规格及参数：</w:t>
      </w:r>
    </w:p>
    <w:p>
      <w:pPr>
        <w:pStyle w:val="3"/>
        <w:spacing w:line="360" w:lineRule="auto"/>
        <w:rPr>
          <w:color w:val="000000" w:themeColor="text1"/>
          <w14:textFill>
            <w14:solidFill>
              <w14:schemeClr w14:val="tx1"/>
            </w14:solidFill>
          </w14:textFill>
        </w:rPr>
      </w:pPr>
      <w:r>
        <w:rPr>
          <w:rFonts w:ascii="方正姚体" w:hAnsi="新宋体" w:eastAsia="方正姚体"/>
          <w:b/>
          <w:bCs/>
          <w:color w:val="000000" w:themeColor="text1"/>
          <w:sz w:val="24"/>
          <w14:textFill>
            <w14:solidFill>
              <w14:schemeClr w14:val="tx1"/>
            </w14:solidFill>
          </w14:textFill>
        </w:rPr>
        <w:t>(1)机床规格</w:t>
      </w:r>
    </w:p>
    <w:tbl>
      <w:tblPr>
        <w:tblStyle w:val="5"/>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rPr>
          <w:cantSplit/>
        </w:trPr>
        <w:tc>
          <w:tcPr>
            <w:tcW w:w="4261" w:type="dxa"/>
            <w:noWrap w:val="0"/>
            <w:vAlign w:val="top"/>
          </w:tcPr>
          <w:p>
            <w:pPr>
              <w:pStyle w:val="3"/>
              <w:rPr>
                <w:color w:val="000000" w:themeColor="text1"/>
                <w14:textFill>
                  <w14:solidFill>
                    <w14:schemeClr w14:val="tx1"/>
                  </w14:solidFill>
                </w14:textFill>
              </w:rPr>
            </w:pPr>
            <w:r>
              <w:rPr>
                <w:color w:val="000000" w:themeColor="text1"/>
                <w14:textFill>
                  <w14:solidFill>
                    <w14:schemeClr w14:val="tx1"/>
                  </w14:solidFill>
                </w14:textFill>
              </w:rPr>
              <w:t>最大磨削直径×最大磨削长度</w:t>
            </w:r>
          </w:p>
        </w:tc>
        <w:tc>
          <w:tcPr>
            <w:tcW w:w="4261" w:type="dxa"/>
            <w:noWrap w:val="0"/>
            <w:vAlign w:val="top"/>
          </w:tcPr>
          <w:p>
            <w:pPr>
              <w:pStyle w:val="3"/>
              <w:jc w:val="right"/>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φ200×750</w:t>
            </w:r>
            <w:r>
              <w:rPr>
                <w:rFonts w:hAnsi="宋体"/>
                <w:color w:val="000000" w:themeColor="text1"/>
                <w14:textFill>
                  <w14:solidFill>
                    <w14:schemeClr w14:val="tx1"/>
                  </w14:solidFill>
                </w14:textFill>
              </w:rPr>
              <w:t>㎜</w:t>
            </w:r>
          </w:p>
        </w:tc>
      </w:tr>
    </w:tbl>
    <w:p>
      <w:pPr>
        <w:pStyle w:val="3"/>
        <w:spacing w:line="360" w:lineRule="auto"/>
        <w:rPr>
          <w:rFonts w:ascii="方正姚体" w:hAnsi="新宋体" w:eastAsia="方正姚体"/>
          <w:b/>
          <w:bCs/>
          <w:color w:val="000000" w:themeColor="text1"/>
          <w:sz w:val="24"/>
          <w14:textFill>
            <w14:solidFill>
              <w14:schemeClr w14:val="tx1"/>
            </w14:solidFill>
          </w14:textFill>
        </w:rPr>
      </w:pPr>
      <w:r>
        <w:rPr>
          <w:rFonts w:ascii="方正姚体" w:hAnsi="新宋体" w:eastAsia="方正姚体"/>
          <w:b/>
          <w:bCs/>
          <w:color w:val="000000" w:themeColor="text1"/>
          <w:sz w:val="24"/>
          <w14:textFill>
            <w14:solidFill>
              <w14:schemeClr w14:val="tx1"/>
            </w14:solidFill>
          </w14:textFill>
        </w:rPr>
        <w:t>(2)加工范围</w:t>
      </w:r>
    </w:p>
    <w:tbl>
      <w:tblPr>
        <w:tblStyle w:val="5"/>
        <w:tblW w:w="8613" w:type="dxa"/>
        <w:tblInd w:w="0" w:type="dxa"/>
        <w:tblLayout w:type="autofit"/>
        <w:tblCellMar>
          <w:top w:w="0" w:type="dxa"/>
          <w:left w:w="108" w:type="dxa"/>
          <w:bottom w:w="0" w:type="dxa"/>
          <w:right w:w="108" w:type="dxa"/>
        </w:tblCellMar>
      </w:tblPr>
      <w:tblGrid>
        <w:gridCol w:w="4219"/>
        <w:gridCol w:w="4394"/>
      </w:tblGrid>
      <w:tr>
        <w:tblPrEx>
          <w:tblCellMar>
            <w:top w:w="0" w:type="dxa"/>
            <w:left w:w="108" w:type="dxa"/>
            <w:bottom w:w="0" w:type="dxa"/>
            <w:right w:w="108" w:type="dxa"/>
          </w:tblCellMar>
        </w:tblPrEx>
        <w:tc>
          <w:tcPr>
            <w:tcW w:w="4219" w:type="dxa"/>
            <w:noWrap w:val="0"/>
            <w:vAlign w:val="top"/>
          </w:tcPr>
          <w:p>
            <w:pPr>
              <w:pStyle w:val="3"/>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磨削外圆直径</w:t>
            </w:r>
          </w:p>
        </w:tc>
        <w:tc>
          <w:tcPr>
            <w:tcW w:w="4394" w:type="dxa"/>
            <w:noWrap w:val="0"/>
            <w:vAlign w:val="top"/>
          </w:tcPr>
          <w:p>
            <w:pPr>
              <w:pStyle w:val="3"/>
              <w:jc w:val="righ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φ8–φ200㎜</w:t>
            </w:r>
          </w:p>
        </w:tc>
      </w:tr>
      <w:tr>
        <w:tblPrEx>
          <w:tblCellMar>
            <w:top w:w="0" w:type="dxa"/>
            <w:left w:w="108" w:type="dxa"/>
            <w:bottom w:w="0" w:type="dxa"/>
            <w:right w:w="108" w:type="dxa"/>
          </w:tblCellMar>
        </w:tblPrEx>
        <w:tc>
          <w:tcPr>
            <w:tcW w:w="4219" w:type="dxa"/>
            <w:noWrap w:val="0"/>
            <w:vAlign w:val="top"/>
          </w:tcPr>
          <w:p>
            <w:pPr>
              <w:pStyle w:val="3"/>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磨削内孔直径</w:t>
            </w:r>
          </w:p>
        </w:tc>
        <w:tc>
          <w:tcPr>
            <w:tcW w:w="4394" w:type="dxa"/>
            <w:noWrap w:val="0"/>
            <w:vAlign w:val="top"/>
          </w:tcPr>
          <w:p>
            <w:pPr>
              <w:pStyle w:val="3"/>
              <w:jc w:val="righ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φ25–φ100㎜</w:t>
            </w:r>
          </w:p>
        </w:tc>
      </w:tr>
      <w:tr>
        <w:tblPrEx>
          <w:tblCellMar>
            <w:top w:w="0" w:type="dxa"/>
            <w:left w:w="108" w:type="dxa"/>
            <w:bottom w:w="0" w:type="dxa"/>
            <w:right w:w="108" w:type="dxa"/>
          </w:tblCellMar>
        </w:tblPrEx>
        <w:tc>
          <w:tcPr>
            <w:tcW w:w="4219" w:type="dxa"/>
            <w:noWrap w:val="0"/>
            <w:vAlign w:val="top"/>
          </w:tcPr>
          <w:p>
            <w:pPr>
              <w:pStyle w:val="3"/>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最大磨削孔深</w:t>
            </w:r>
          </w:p>
        </w:tc>
        <w:tc>
          <w:tcPr>
            <w:tcW w:w="4394" w:type="dxa"/>
            <w:noWrap w:val="0"/>
            <w:vAlign w:val="top"/>
          </w:tcPr>
          <w:p>
            <w:pPr>
              <w:pStyle w:val="3"/>
              <w:jc w:val="right"/>
              <w:rPr>
                <w:rFonts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Ansi="宋体"/>
                <w:color w:val="000000" w:themeColor="text1"/>
                <w14:textFill>
                  <w14:solidFill>
                    <w14:schemeClr w14:val="tx1"/>
                  </w14:solidFill>
                </w14:textFill>
              </w:rPr>
              <w:t>125㎜</w:t>
            </w:r>
          </w:p>
        </w:tc>
      </w:tr>
      <w:tr>
        <w:tblPrEx>
          <w:tblCellMar>
            <w:top w:w="0" w:type="dxa"/>
            <w:left w:w="108" w:type="dxa"/>
            <w:bottom w:w="0" w:type="dxa"/>
            <w:right w:w="108" w:type="dxa"/>
          </w:tblCellMar>
        </w:tblPrEx>
        <w:tc>
          <w:tcPr>
            <w:tcW w:w="4219" w:type="dxa"/>
            <w:noWrap w:val="0"/>
            <w:vAlign w:val="top"/>
          </w:tcPr>
          <w:p>
            <w:pPr>
              <w:pStyle w:val="3"/>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中心高</w:t>
            </w:r>
          </w:p>
        </w:tc>
        <w:tc>
          <w:tcPr>
            <w:tcW w:w="4394" w:type="dxa"/>
            <w:noWrap w:val="0"/>
            <w:vAlign w:val="top"/>
          </w:tcPr>
          <w:p>
            <w:pPr>
              <w:pStyle w:val="3"/>
              <w:jc w:val="right"/>
              <w:rPr>
                <w:rFonts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Ansi="宋体"/>
                <w:color w:val="000000" w:themeColor="text1"/>
                <w14:textFill>
                  <w14:solidFill>
                    <w14:schemeClr w14:val="tx1"/>
                  </w14:solidFill>
                </w14:textFill>
              </w:rPr>
              <w:t>1</w:t>
            </w:r>
            <w:r>
              <w:rPr>
                <w:rFonts w:hint="default" w:hAnsi="宋体"/>
                <w:color w:val="000000" w:themeColor="text1"/>
                <w14:textFill>
                  <w14:solidFill>
                    <w14:schemeClr w14:val="tx1"/>
                  </w14:solidFill>
                </w14:textFill>
              </w:rPr>
              <w:t>35㎜</w:t>
            </w:r>
          </w:p>
        </w:tc>
      </w:tr>
      <w:tr>
        <w:tblPrEx>
          <w:tblCellMar>
            <w:top w:w="0" w:type="dxa"/>
            <w:left w:w="108" w:type="dxa"/>
            <w:bottom w:w="0" w:type="dxa"/>
            <w:right w:w="108" w:type="dxa"/>
          </w:tblCellMar>
        </w:tblPrEx>
        <w:tc>
          <w:tcPr>
            <w:tcW w:w="4219" w:type="dxa"/>
            <w:noWrap w:val="0"/>
            <w:vAlign w:val="top"/>
          </w:tcPr>
          <w:p>
            <w:pPr>
              <w:pStyle w:val="3"/>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最大工件重量</w:t>
            </w:r>
            <w:r>
              <w:rPr>
                <w:rFonts w:hAnsi="宋体"/>
                <w:color w:val="000000" w:themeColor="text1"/>
                <w14:textFill>
                  <w14:solidFill>
                    <w14:schemeClr w14:val="tx1"/>
                  </w14:solidFill>
                </w14:textFill>
              </w:rPr>
              <w:tab/>
            </w:r>
          </w:p>
        </w:tc>
        <w:tc>
          <w:tcPr>
            <w:tcW w:w="4394" w:type="dxa"/>
            <w:noWrap w:val="0"/>
            <w:vAlign w:val="top"/>
          </w:tcPr>
          <w:p>
            <w:pPr>
              <w:pStyle w:val="3"/>
              <w:jc w:val="right"/>
              <w:rPr>
                <w:rFonts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Ansi="宋体"/>
                <w:color w:val="000000" w:themeColor="text1"/>
                <w14:textFill>
                  <w14:solidFill>
                    <w14:schemeClr w14:val="tx1"/>
                  </w14:solidFill>
                </w14:textFill>
              </w:rPr>
              <w:t>50㎏</w:t>
            </w:r>
          </w:p>
        </w:tc>
      </w:tr>
      <w:tr>
        <w:tblPrEx>
          <w:tblCellMar>
            <w:top w:w="0" w:type="dxa"/>
            <w:left w:w="108" w:type="dxa"/>
            <w:bottom w:w="0" w:type="dxa"/>
            <w:right w:w="108" w:type="dxa"/>
          </w:tblCellMar>
        </w:tblPrEx>
        <w:tc>
          <w:tcPr>
            <w:tcW w:w="4219" w:type="dxa"/>
            <w:noWrap w:val="0"/>
            <w:vAlign w:val="top"/>
          </w:tcPr>
          <w:p>
            <w:pPr>
              <w:pStyle w:val="3"/>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开式中心架可夹直径</w:t>
            </w:r>
          </w:p>
        </w:tc>
        <w:tc>
          <w:tcPr>
            <w:tcW w:w="4394" w:type="dxa"/>
            <w:noWrap w:val="0"/>
            <w:vAlign w:val="top"/>
          </w:tcPr>
          <w:p>
            <w:pPr>
              <w:pStyle w:val="3"/>
              <w:jc w:val="righ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φ5–φ60㎜</w:t>
            </w:r>
          </w:p>
        </w:tc>
      </w:tr>
      <w:tr>
        <w:tblPrEx>
          <w:tblCellMar>
            <w:top w:w="0" w:type="dxa"/>
            <w:left w:w="108" w:type="dxa"/>
            <w:bottom w:w="0" w:type="dxa"/>
            <w:right w:w="108" w:type="dxa"/>
          </w:tblCellMar>
        </w:tblPrEx>
        <w:tc>
          <w:tcPr>
            <w:tcW w:w="4219" w:type="dxa"/>
            <w:noWrap w:val="0"/>
            <w:vAlign w:val="top"/>
          </w:tcPr>
          <w:p>
            <w:pPr>
              <w:pStyle w:val="3"/>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闭式中心架可夹直径</w:t>
            </w:r>
          </w:p>
        </w:tc>
        <w:tc>
          <w:tcPr>
            <w:tcW w:w="4394" w:type="dxa"/>
            <w:noWrap w:val="0"/>
            <w:vAlign w:val="top"/>
          </w:tcPr>
          <w:p>
            <w:pPr>
              <w:pStyle w:val="3"/>
              <w:jc w:val="righ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φ15–φ130㎜</w:t>
            </w:r>
          </w:p>
        </w:tc>
      </w:tr>
      <w:tr>
        <w:tblPrEx>
          <w:tblCellMar>
            <w:top w:w="0" w:type="dxa"/>
            <w:left w:w="108" w:type="dxa"/>
            <w:bottom w:w="0" w:type="dxa"/>
            <w:right w:w="108" w:type="dxa"/>
          </w:tblCellMar>
        </w:tblPrEx>
        <w:tc>
          <w:tcPr>
            <w:tcW w:w="4219"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头架顶尖(莫氏)</w:t>
            </w:r>
          </w:p>
        </w:tc>
        <w:tc>
          <w:tcPr>
            <w:tcW w:w="4394"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4</w:t>
            </w:r>
          </w:p>
        </w:tc>
      </w:tr>
      <w:tr>
        <w:tblPrEx>
          <w:tblCellMar>
            <w:top w:w="0" w:type="dxa"/>
            <w:left w:w="108" w:type="dxa"/>
            <w:bottom w:w="0" w:type="dxa"/>
            <w:right w:w="108" w:type="dxa"/>
          </w:tblCellMar>
        </w:tblPrEx>
        <w:tc>
          <w:tcPr>
            <w:tcW w:w="4219"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尾架项尖(莫氏) </w:t>
            </w:r>
          </w:p>
        </w:tc>
        <w:tc>
          <w:tcPr>
            <w:tcW w:w="4394"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4</w:t>
            </w:r>
          </w:p>
        </w:tc>
      </w:tr>
    </w:tbl>
    <w:p>
      <w:pPr>
        <w:pStyle w:val="3"/>
        <w:spacing w:line="360" w:lineRule="auto"/>
        <w:rPr>
          <w:rFonts w:hint="default" w:ascii="方正姚体" w:hAnsi="新宋体" w:eastAsia="方正姚体"/>
          <w:b/>
          <w:bCs/>
          <w:color w:val="000000" w:themeColor="text1"/>
          <w:sz w:val="24"/>
          <w14:textFill>
            <w14:solidFill>
              <w14:schemeClr w14:val="tx1"/>
            </w14:solidFill>
          </w14:textFill>
        </w:rPr>
      </w:pPr>
      <w:r>
        <w:rPr>
          <w:rFonts w:ascii="方正姚体" w:hAnsi="新宋体" w:eastAsia="方正姚体"/>
          <w:b/>
          <w:bCs/>
          <w:color w:val="000000" w:themeColor="text1"/>
          <w:sz w:val="24"/>
          <w14:textFill>
            <w14:solidFill>
              <w14:schemeClr w14:val="tx1"/>
            </w14:solidFill>
          </w14:textFill>
        </w:rPr>
        <w:t>(3)一般性能</w:t>
      </w:r>
    </w:p>
    <w:tbl>
      <w:tblPr>
        <w:tblStyle w:val="5"/>
        <w:tblW w:w="0" w:type="auto"/>
        <w:tblInd w:w="0" w:type="dxa"/>
        <w:tblLayout w:type="fixed"/>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尾架套筒移动量</w:t>
            </w:r>
          </w:p>
        </w:tc>
        <w:tc>
          <w:tcPr>
            <w:tcW w:w="4261" w:type="dxa"/>
            <w:noWrap w:val="0"/>
            <w:vAlign w:val="center"/>
          </w:tcPr>
          <w:p>
            <w:pPr>
              <w:jc w:val="right"/>
              <w:rPr>
                <w:rFonts w:hint="eastAsia" w:ascii="宋体"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30㎜</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手动最小进给量</w:t>
            </w:r>
          </w:p>
        </w:tc>
        <w:tc>
          <w:tcPr>
            <w:tcW w:w="4261" w:type="dxa"/>
            <w:noWrap w:val="0"/>
            <w:vAlign w:val="center"/>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0.0025㎜</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砂轮修整补偿进给</w:t>
            </w:r>
          </w:p>
        </w:tc>
        <w:tc>
          <w:tcPr>
            <w:tcW w:w="4261" w:type="dxa"/>
            <w:noWrap w:val="0"/>
            <w:vAlign w:val="center"/>
          </w:tcPr>
          <w:p>
            <w:pPr>
              <w:jc w:val="right"/>
              <w:rPr>
                <w:rFonts w:ascii="宋体" w:hAnsi="宋体"/>
                <w:color w:val="000000" w:themeColor="text1"/>
                <w14:textFill>
                  <w14:solidFill>
                    <w14:schemeClr w14:val="tx1"/>
                  </w14:solidFill>
                </w14:textFill>
              </w:rPr>
            </w:pPr>
            <w:r>
              <w:rPr>
                <w:rFonts w:hint="eastAsia"/>
                <w:color w:val="000000" w:themeColor="text1"/>
                <w14:textFill>
                  <w14:solidFill>
                    <w14:schemeClr w14:val="tx1"/>
                  </w14:solidFill>
                </w14:textFill>
              </w:rPr>
              <w:t>手动</w:t>
            </w:r>
          </w:p>
        </w:tc>
      </w:tr>
      <w:tr>
        <w:tblPrEx>
          <w:tblCellMar>
            <w:top w:w="0" w:type="dxa"/>
            <w:left w:w="108" w:type="dxa"/>
            <w:bottom w:w="0" w:type="dxa"/>
            <w:right w:w="108" w:type="dxa"/>
          </w:tblCellMar>
        </w:tblPrEx>
        <w:trPr>
          <w:trHeight w:val="287" w:hRule="atLeast"/>
        </w:trPr>
        <w:tc>
          <w:tcPr>
            <w:tcW w:w="4261" w:type="dxa"/>
            <w:noWrap w:val="0"/>
            <w:vAlign w:val="top"/>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半</w:t>
            </w:r>
            <w:r>
              <w:rPr>
                <w:rFonts w:ascii="宋体" w:hAnsi="宋体"/>
                <w:color w:val="000000" w:themeColor="text1"/>
                <w14:textFill>
                  <w14:solidFill>
                    <w14:schemeClr w14:val="tx1"/>
                  </w14:solidFill>
                </w14:textFill>
              </w:rPr>
              <w:t>自动周期进给</w:t>
            </w:r>
          </w:p>
        </w:tc>
        <w:tc>
          <w:tcPr>
            <w:tcW w:w="4261" w:type="dxa"/>
            <w:noWrap w:val="0"/>
            <w:vAlign w:val="center"/>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有</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半自动切入进给</w:t>
            </w:r>
          </w:p>
        </w:tc>
        <w:tc>
          <w:tcPr>
            <w:tcW w:w="4261" w:type="dxa"/>
            <w:noWrap w:val="0"/>
            <w:vAlign w:val="center"/>
          </w:tcPr>
          <w:p>
            <w:pPr>
              <w:jc w:val="righ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无</w:t>
            </w:r>
          </w:p>
        </w:tc>
      </w:tr>
    </w:tbl>
    <w:p>
      <w:pPr>
        <w:pStyle w:val="3"/>
        <w:spacing w:line="360" w:lineRule="auto"/>
        <w:rPr>
          <w:color w:val="000000" w:themeColor="text1"/>
          <w14:textFill>
            <w14:solidFill>
              <w14:schemeClr w14:val="tx1"/>
            </w14:solidFill>
          </w14:textFill>
        </w:rPr>
      </w:pPr>
      <w:r>
        <w:rPr>
          <w:rFonts w:ascii="方正姚体" w:hAnsi="新宋体" w:eastAsia="方正姚体"/>
          <w:b/>
          <w:bCs/>
          <w:color w:val="000000" w:themeColor="text1"/>
          <w:sz w:val="24"/>
          <w14:textFill>
            <w14:solidFill>
              <w14:schemeClr w14:val="tx1"/>
            </w14:solidFill>
          </w14:textFill>
        </w:rPr>
        <w:t>(4)工作台</w:t>
      </w:r>
    </w:p>
    <w:tbl>
      <w:tblPr>
        <w:tblStyle w:val="5"/>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最大纵向移动量</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750 mm</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手轮一转工作台移动量</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6 mm</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上工作台最大回转角度</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顺时针3°，</w:t>
            </w:r>
            <w:r>
              <w:rPr>
                <w:rFonts w:hint="eastAsia"/>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逆时针7°</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液压传动速度</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0.1</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4 m/min</w:t>
            </w:r>
          </w:p>
        </w:tc>
      </w:tr>
    </w:tbl>
    <w:p>
      <w:pPr>
        <w:pStyle w:val="3"/>
        <w:spacing w:line="360" w:lineRule="auto"/>
        <w:rPr>
          <w:color w:val="000000" w:themeColor="text1"/>
          <w14:textFill>
            <w14:solidFill>
              <w14:schemeClr w14:val="tx1"/>
            </w14:solidFill>
          </w14:textFill>
        </w:rPr>
      </w:pPr>
      <w:r>
        <w:rPr>
          <w:rFonts w:ascii="方正姚体" w:hAnsi="新宋体" w:eastAsia="方正姚体"/>
          <w:b/>
          <w:bCs/>
          <w:color w:val="000000" w:themeColor="text1"/>
          <w:sz w:val="24"/>
          <w14:textFill>
            <w14:solidFill>
              <w14:schemeClr w14:val="tx1"/>
            </w14:solidFill>
          </w14:textFill>
        </w:rPr>
        <w:t>(5)头架</w:t>
      </w:r>
    </w:p>
    <w:tbl>
      <w:tblPr>
        <w:tblStyle w:val="5"/>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主轴回转的可能性</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可能</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体座回转角度</w:t>
            </w:r>
          </w:p>
        </w:tc>
        <w:tc>
          <w:tcPr>
            <w:tcW w:w="4261" w:type="dxa"/>
            <w:noWrap w:val="0"/>
            <w:vAlign w:val="top"/>
          </w:tcPr>
          <w:p>
            <w:pPr>
              <w:wordWrap w:val="0"/>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+90°</w:t>
            </w:r>
          </w:p>
        </w:tc>
      </w:tr>
      <w:tr>
        <w:tblPrEx>
          <w:tblCellMar>
            <w:top w:w="0" w:type="dxa"/>
            <w:left w:w="108" w:type="dxa"/>
            <w:bottom w:w="0" w:type="dxa"/>
            <w:right w:w="108" w:type="dxa"/>
          </w:tblCellMar>
        </w:tblPrEx>
        <w:trPr>
          <w:trHeight w:val="315" w:hRule="atLeast"/>
        </w:trPr>
        <w:tc>
          <w:tcPr>
            <w:tcW w:w="4261" w:type="dxa"/>
            <w:noWrap w:val="0"/>
            <w:vAlign w:val="top"/>
          </w:tcPr>
          <w:p>
            <w:pPr>
              <w:pStyle w:val="3"/>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工件转速 </w:t>
            </w:r>
          </w:p>
        </w:tc>
        <w:tc>
          <w:tcPr>
            <w:tcW w:w="4261" w:type="dxa"/>
            <w:noWrap w:val="0"/>
            <w:vAlign w:val="top"/>
          </w:tcPr>
          <w:p>
            <w:pPr>
              <w:pStyle w:val="3"/>
              <w:jc w:val="righ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ab/>
            </w:r>
            <w:r>
              <w:rPr>
                <w:rFonts w:hAnsi="宋体"/>
                <w:color w:val="000000" w:themeColor="text1"/>
                <w14:textFill>
                  <w14:solidFill>
                    <w14:schemeClr w14:val="tx1"/>
                  </w14:solidFill>
                </w14:textFill>
              </w:rPr>
              <w:t>68、81、135、163、216、432 r/min</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卡盘直径</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三爪φ165 mm、四爪φ160 mm</w:t>
            </w:r>
          </w:p>
        </w:tc>
      </w:tr>
    </w:tbl>
    <w:p>
      <w:pPr>
        <w:rPr>
          <w:rFonts w:hint="eastAsia"/>
          <w:color w:val="000000" w:themeColor="text1"/>
          <w14:textFill>
            <w14:solidFill>
              <w14:schemeClr w14:val="tx1"/>
            </w14:solidFill>
          </w14:textFill>
        </w:rPr>
      </w:pPr>
      <w:r>
        <w:rPr>
          <w:rFonts w:hint="eastAsia" w:ascii="方正姚体" w:hAnsi="新宋体" w:eastAsia="方正姚体" w:cs="Courier New"/>
          <w:b/>
          <w:bCs/>
          <w:color w:val="000000" w:themeColor="text1"/>
          <w:sz w:val="24"/>
          <w:szCs w:val="21"/>
          <w14:textFill>
            <w14:solidFill>
              <w14:schemeClr w14:val="tx1"/>
            </w14:solidFill>
          </w14:textFill>
        </w:rPr>
        <w:t>(6)砂轮架</w:t>
      </w:r>
    </w:p>
    <w:tbl>
      <w:tblPr>
        <w:tblStyle w:val="5"/>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砂轮尺寸(外径×宽度×内径)</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最大 φ400×50×φ203 mm</w:t>
            </w:r>
          </w:p>
        </w:tc>
      </w:tr>
      <w:tr>
        <w:tc>
          <w:tcPr>
            <w:tcW w:w="4261" w:type="dxa"/>
            <w:noWrap w:val="0"/>
            <w:vAlign w:val="top"/>
          </w:tcPr>
          <w:p>
            <w:pPr>
              <w:rPr>
                <w:rFonts w:hint="eastAsia" w:ascii="宋体" w:hAnsi="宋体"/>
                <w:color w:val="000000" w:themeColor="text1"/>
                <w14:textFill>
                  <w14:solidFill>
                    <w14:schemeClr w14:val="tx1"/>
                  </w14:solidFill>
                </w14:textFill>
              </w:rPr>
            </w:pP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最小 φ300×50×φ203 mm</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砂轮线速度</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35 m/s</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砂轮主轴转速</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1670 r/min</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最大移动量（包括快速进退量）</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250 mm</w:t>
            </w:r>
          </w:p>
        </w:tc>
      </w:tr>
      <w:tr>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快速进退量</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50 mm</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手轮一转砂轮架移动量</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粗2.0 mm、精0.5 mm</w:t>
            </w:r>
          </w:p>
        </w:tc>
      </w:tr>
      <w:tr>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手轮–格砂轮架移动量</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粗0.01 mm、精0.0025 mm</w:t>
            </w:r>
          </w:p>
        </w:tc>
      </w:tr>
      <w:tr>
        <w:tblPrEx>
          <w:tblCellMar>
            <w:top w:w="0" w:type="dxa"/>
            <w:left w:w="108" w:type="dxa"/>
            <w:bottom w:w="0" w:type="dxa"/>
            <w:right w:w="108" w:type="dxa"/>
          </w:tblCellMar>
        </w:tblPrEx>
        <w:tc>
          <w:tcPr>
            <w:tcW w:w="4261" w:type="dxa"/>
            <w:noWrap w:val="0"/>
            <w:vAlign w:val="top"/>
          </w:tcPr>
          <w:p>
            <w:pP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砂轮回转角度</w:t>
            </w:r>
          </w:p>
        </w:tc>
        <w:tc>
          <w:tcPr>
            <w:tcW w:w="4261" w:type="dxa"/>
            <w:noWrap w:val="0"/>
            <w:vAlign w:val="top"/>
          </w:tcPr>
          <w:p>
            <w:pPr>
              <w:jc w:val="righ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顺时针10°</w:t>
            </w:r>
          </w:p>
        </w:tc>
      </w:tr>
    </w:tbl>
    <w:p>
      <w:pPr>
        <w:rPr>
          <w:rFonts w:hint="eastAsia" w:ascii="方正姚体" w:hAnsi="新宋体" w:eastAsia="方正姚体" w:cs="Courier New"/>
          <w:b/>
          <w:bCs/>
          <w:color w:val="000000" w:themeColor="text1"/>
          <w:sz w:val="24"/>
          <w:szCs w:val="21"/>
          <w14:textFill>
            <w14:solidFill>
              <w14:schemeClr w14:val="tx1"/>
            </w14:solidFill>
          </w14:textFill>
        </w:rPr>
      </w:pPr>
      <w:r>
        <w:rPr>
          <w:rFonts w:hint="eastAsia" w:ascii="方正姚体" w:hAnsi="新宋体" w:eastAsia="方正姚体" w:cs="Courier New"/>
          <w:b/>
          <w:bCs/>
          <w:color w:val="000000" w:themeColor="text1"/>
          <w:sz w:val="24"/>
          <w:szCs w:val="21"/>
          <w14:textFill>
            <w14:solidFill>
              <w14:schemeClr w14:val="tx1"/>
            </w14:solidFill>
          </w14:textFill>
        </w:rPr>
        <w:t>(7)内圆磨具</w:t>
      </w:r>
    </w:p>
    <w:tbl>
      <w:tblPr>
        <w:tblStyle w:val="5"/>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noWrap w:val="0"/>
            <w:vAlign w:val="top"/>
          </w:tcPr>
          <w:p>
            <w:pPr>
              <w:rPr>
                <w:rFonts w:hint="eastAsia" w:ascii="宋体" w:hAnsi="新宋体" w:cs="Courier New"/>
                <w:color w:val="000000" w:themeColor="text1"/>
                <w:szCs w:val="21"/>
                <w14:textFill>
                  <w14:solidFill>
                    <w14:schemeClr w14:val="tx1"/>
                  </w14:solidFill>
                </w14:textFill>
              </w:rPr>
            </w:pPr>
            <w:r>
              <w:rPr>
                <w:rFonts w:hint="eastAsia" w:ascii="宋体" w:hAnsi="新宋体" w:cs="Courier New"/>
                <w:color w:val="000000" w:themeColor="text1"/>
                <w:szCs w:val="21"/>
                <w14:textFill>
                  <w14:solidFill>
                    <w14:schemeClr w14:val="tx1"/>
                  </w14:solidFill>
                </w14:textFill>
              </w:rPr>
              <w:t>砂轮尺寸（外径×宽度×内径）</w:t>
            </w:r>
          </w:p>
        </w:tc>
        <w:tc>
          <w:tcPr>
            <w:tcW w:w="4261" w:type="dxa"/>
            <w:noWrap w:val="0"/>
            <w:vAlign w:val="top"/>
          </w:tcPr>
          <w:p>
            <w:pPr>
              <w:jc w:val="right"/>
              <w:rPr>
                <w:rFonts w:hint="eastAsia" w:ascii="宋体" w:hAnsi="新宋体" w:cs="Courier New"/>
                <w:color w:val="000000" w:themeColor="text1"/>
                <w:szCs w:val="21"/>
                <w14:textFill>
                  <w14:solidFill>
                    <w14:schemeClr w14:val="tx1"/>
                  </w14:solidFill>
                </w14:textFill>
              </w:rPr>
            </w:pPr>
            <w:r>
              <w:rPr>
                <w:rFonts w:hint="eastAsia" w:ascii="宋体" w:hAnsi="新宋体" w:cs="Courier New"/>
                <w:color w:val="000000" w:themeColor="text1"/>
                <w:szCs w:val="21"/>
                <w14:textFill>
                  <w14:solidFill>
                    <w14:schemeClr w14:val="tx1"/>
                  </w14:solidFill>
                </w14:textFill>
              </w:rPr>
              <w:t>最大 φ50×25×φ13</w:t>
            </w:r>
          </w:p>
        </w:tc>
      </w:tr>
      <w:tr>
        <w:tblPrEx>
          <w:tblCellMar>
            <w:top w:w="0" w:type="dxa"/>
            <w:left w:w="108" w:type="dxa"/>
            <w:bottom w:w="0" w:type="dxa"/>
            <w:right w:w="108" w:type="dxa"/>
          </w:tblCellMar>
        </w:tblPrEx>
        <w:tc>
          <w:tcPr>
            <w:tcW w:w="4261" w:type="dxa"/>
            <w:noWrap w:val="0"/>
            <w:vAlign w:val="top"/>
          </w:tcPr>
          <w:p>
            <w:pPr>
              <w:rPr>
                <w:rFonts w:hint="eastAsia" w:ascii="宋体" w:hAnsi="新宋体" w:cs="Courier New"/>
                <w:color w:val="000000" w:themeColor="text1"/>
                <w:szCs w:val="21"/>
                <w14:textFill>
                  <w14:solidFill>
                    <w14:schemeClr w14:val="tx1"/>
                  </w14:solidFill>
                </w14:textFill>
              </w:rPr>
            </w:pPr>
          </w:p>
        </w:tc>
        <w:tc>
          <w:tcPr>
            <w:tcW w:w="4261" w:type="dxa"/>
            <w:noWrap w:val="0"/>
            <w:vAlign w:val="top"/>
          </w:tcPr>
          <w:p>
            <w:pPr>
              <w:jc w:val="right"/>
              <w:rPr>
                <w:rFonts w:hint="eastAsia" w:ascii="宋体" w:hAnsi="新宋体" w:cs="Courier New"/>
                <w:color w:val="000000" w:themeColor="text1"/>
                <w:szCs w:val="21"/>
                <w14:textFill>
                  <w14:solidFill>
                    <w14:schemeClr w14:val="tx1"/>
                  </w14:solidFill>
                </w14:textFill>
              </w:rPr>
            </w:pPr>
            <w:r>
              <w:rPr>
                <w:rFonts w:hint="eastAsia" w:ascii="宋体" w:hAnsi="新宋体" w:cs="Courier New"/>
                <w:color w:val="000000" w:themeColor="text1"/>
                <w:szCs w:val="21"/>
                <w14:textFill>
                  <w14:solidFill>
                    <w14:schemeClr w14:val="tx1"/>
                  </w14:solidFill>
                </w14:textFill>
              </w:rPr>
              <w:t>最小 φ16×20×φ 6</w:t>
            </w:r>
          </w:p>
        </w:tc>
      </w:tr>
      <w:tr>
        <w:tblPrEx>
          <w:tblCellMar>
            <w:top w:w="0" w:type="dxa"/>
            <w:left w:w="108" w:type="dxa"/>
            <w:bottom w:w="0" w:type="dxa"/>
            <w:right w:w="108" w:type="dxa"/>
          </w:tblCellMar>
        </w:tblPrEx>
        <w:tc>
          <w:tcPr>
            <w:tcW w:w="4261" w:type="dxa"/>
            <w:noWrap w:val="0"/>
            <w:vAlign w:val="top"/>
          </w:tcPr>
          <w:p>
            <w:pPr>
              <w:rPr>
                <w:rFonts w:hint="eastAsia" w:ascii="宋体" w:hAnsi="新宋体" w:cs="Courier New"/>
                <w:color w:val="000000" w:themeColor="text1"/>
                <w:szCs w:val="21"/>
                <w14:textFill>
                  <w14:solidFill>
                    <w14:schemeClr w14:val="tx1"/>
                  </w14:solidFill>
                </w14:textFill>
              </w:rPr>
            </w:pPr>
            <w:r>
              <w:rPr>
                <w:rFonts w:hint="eastAsia" w:ascii="宋体" w:hAnsi="新宋体" w:cs="Courier New"/>
                <w:color w:val="000000" w:themeColor="text1"/>
                <w:szCs w:val="21"/>
                <w14:textFill>
                  <w14:solidFill>
                    <w14:schemeClr w14:val="tx1"/>
                  </w14:solidFill>
                </w14:textFill>
              </w:rPr>
              <w:t>主轴转速</w:t>
            </w:r>
          </w:p>
        </w:tc>
        <w:tc>
          <w:tcPr>
            <w:tcW w:w="4261" w:type="dxa"/>
            <w:noWrap w:val="0"/>
            <w:vAlign w:val="top"/>
          </w:tcPr>
          <w:p>
            <w:pPr>
              <w:jc w:val="right"/>
              <w:rPr>
                <w:rFonts w:hint="eastAsia" w:ascii="宋体" w:hAnsi="新宋体" w:cs="Courier New"/>
                <w:color w:val="000000" w:themeColor="text1"/>
                <w:szCs w:val="21"/>
                <w14:textFill>
                  <w14:solidFill>
                    <w14:schemeClr w14:val="tx1"/>
                  </w14:solidFill>
                </w14:textFill>
              </w:rPr>
            </w:pPr>
            <w:r>
              <w:rPr>
                <w:rFonts w:hint="eastAsia" w:ascii="宋体" w:hAnsi="新宋体" w:cs="Courier New"/>
                <w:color w:val="000000" w:themeColor="text1"/>
                <w:szCs w:val="21"/>
                <w14:textFill>
                  <w14:solidFill>
                    <w14:schemeClr w14:val="tx1"/>
                  </w14:solidFill>
                </w14:textFill>
              </w:rPr>
              <w:t>10000、15000 r/min</w:t>
            </w:r>
          </w:p>
        </w:tc>
      </w:tr>
    </w:tbl>
    <w:p>
      <w:pPr>
        <w:pStyle w:val="3"/>
        <w:spacing w:line="480" w:lineRule="auto"/>
        <w:rPr>
          <w:rFonts w:hint="eastAsia" w:ascii="宋体" w:hAnsi="宋体" w:eastAsia="宋体" w:cs="宋体"/>
          <w:b w:val="0"/>
          <w:bCs w:val="0"/>
          <w:color w:val="000000" w:themeColor="text1"/>
          <w:sz w:val="28"/>
          <w:szCs w:val="28"/>
          <w14:textFill>
            <w14:solidFill>
              <w14:schemeClr w14:val="tx1"/>
            </w14:solidFill>
          </w14:textFill>
        </w:rPr>
      </w:pPr>
      <w:r>
        <w:rPr>
          <w:rFonts w:hint="eastAsia" w:ascii="宋体" w:hAnsi="宋体" w:eastAsia="宋体" w:cs="宋体"/>
          <w:b w:val="0"/>
          <w:bCs w:val="0"/>
          <w:color w:val="000000" w:themeColor="text1"/>
          <w:sz w:val="28"/>
          <w:szCs w:val="28"/>
          <w14:textFill>
            <w14:solidFill>
              <w14:schemeClr w14:val="tx1"/>
            </w14:solidFill>
          </w14:textFill>
        </w:rPr>
        <w:t>工作精度：</w:t>
      </w:r>
    </w:p>
    <w:p>
      <w:pPr>
        <w:rPr>
          <w:rFonts w:hint="eastAsia" w:ascii="宋体" w:hAnsi="宋体" w:eastAsia="宋体" w:cs="宋体"/>
          <w:b w:val="0"/>
          <w:bCs w:val="0"/>
          <w:color w:val="000000" w:themeColor="text1"/>
          <w:sz w:val="24"/>
          <w:szCs w:val="21"/>
          <w14:textFill>
            <w14:solidFill>
              <w14:schemeClr w14:val="tx1"/>
            </w14:solidFill>
          </w14:textFill>
        </w:rPr>
      </w:pPr>
      <w:r>
        <w:rPr>
          <w:rFonts w:hint="eastAsia" w:ascii="宋体" w:hAnsi="宋体" w:eastAsia="宋体" w:cs="宋体"/>
          <w:b w:val="0"/>
          <w:bCs w:val="0"/>
          <w:color w:val="000000" w:themeColor="text1"/>
          <w:sz w:val="24"/>
          <w:szCs w:val="21"/>
          <w14:textFill>
            <w14:solidFill>
              <w14:schemeClr w14:val="tx1"/>
            </w14:solidFill>
          </w14:textFill>
        </w:rPr>
        <w:t>出厂合格标准(GB／T4685–2007)</w:t>
      </w:r>
    </w:p>
    <w:p>
      <w:pPr>
        <w:pStyle w:val="2"/>
        <w:rPr>
          <w:rFonts w:hint="eastAsia" w:ascii="宋体" w:hAnsi="宋体" w:eastAsia="宋体" w:cs="宋体"/>
          <w:b/>
          <w:bCs/>
          <w:color w:val="0070C0"/>
          <w:sz w:val="24"/>
          <w:szCs w:val="21"/>
          <w:lang w:val="en-US" w:eastAsia="zh-CN"/>
        </w:rPr>
      </w:pPr>
      <w:r>
        <w:rPr>
          <w:rFonts w:hint="eastAsia" w:ascii="宋体" w:hAnsi="宋体" w:eastAsia="宋体" w:cs="宋体"/>
          <w:b/>
          <w:bCs/>
          <w:color w:val="0070C0"/>
          <w:sz w:val="24"/>
          <w:szCs w:val="21"/>
          <w:lang w:val="en-US" w:eastAsia="zh-CN"/>
        </w:rPr>
        <w:t>6：铣床</w:t>
      </w:r>
    </w:p>
    <w:tbl>
      <w:tblPr>
        <w:tblStyle w:val="5"/>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工作台面尺寸</w:t>
            </w:r>
          </w:p>
        </w:tc>
        <w:tc>
          <w:tcPr>
            <w:tcW w:w="4261" w:type="dxa"/>
            <w:noWrap w:val="0"/>
            <w:vAlign w:val="top"/>
          </w:tcPr>
          <w:p>
            <w:pPr>
              <w:jc w:val="right"/>
              <w:rPr>
                <w:rFonts w:hint="eastAsia" w:ascii="宋体" w:hAnsi="宋体" w:eastAsia="宋体" w:cs="宋体"/>
                <w:sz w:val="21"/>
                <w:szCs w:val="21"/>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400*1600mm</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最大承重量</w:t>
            </w:r>
          </w:p>
        </w:tc>
        <w:tc>
          <w:tcPr>
            <w:tcW w:w="4261" w:type="dxa"/>
            <w:noWrap w:val="0"/>
            <w:vAlign w:val="top"/>
          </w:tcPr>
          <w:p>
            <w:pPr>
              <w:jc w:val="right"/>
              <w:rPr>
                <w:rFonts w:hint="eastAsia" w:ascii="宋体" w:hAnsi="宋体" w:eastAsia="宋体" w:cs="宋体"/>
                <w:sz w:val="21"/>
                <w:szCs w:val="21"/>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大于等于800公斤</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T型槽数</w:t>
            </w:r>
          </w:p>
        </w:tc>
        <w:tc>
          <w:tcPr>
            <w:tcW w:w="4261" w:type="dxa"/>
            <w:noWrap w:val="0"/>
            <w:vAlign w:val="top"/>
          </w:tcPr>
          <w:p>
            <w:pPr>
              <w:jc w:val="right"/>
              <w:rPr>
                <w:rFonts w:hint="eastAsia" w:ascii="宋体" w:hAnsi="宋体" w:eastAsia="宋体" w:cs="宋体"/>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3</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T型槽宽度</w:t>
            </w:r>
          </w:p>
        </w:tc>
        <w:tc>
          <w:tcPr>
            <w:tcW w:w="4261" w:type="dxa"/>
            <w:noWrap w:val="0"/>
            <w:vAlign w:val="top"/>
          </w:tcPr>
          <w:p>
            <w:pPr>
              <w:jc w:val="right"/>
              <w:rPr>
                <w:rFonts w:hint="eastAsia" w:ascii="宋体" w:hAnsi="宋体" w:eastAsia="宋体" w:cs="宋体"/>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18</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T型槽间距</w:t>
            </w:r>
          </w:p>
        </w:tc>
        <w:tc>
          <w:tcPr>
            <w:tcW w:w="4261" w:type="dxa"/>
            <w:noWrap w:val="0"/>
            <w:vAlign w:val="top"/>
          </w:tcPr>
          <w:p>
            <w:pPr>
              <w:jc w:val="right"/>
              <w:rPr>
                <w:rFonts w:hint="eastAsia" w:ascii="宋体" w:hAnsi="宋体" w:eastAsia="宋体" w:cs="宋体"/>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90</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rPr>
            </w:pPr>
            <w:r>
              <w:rPr>
                <w:rFonts w:hint="eastAsia" w:ascii="宋体" w:hAnsi="宋体" w:eastAsia="宋体" w:cs="宋体"/>
              </w:rPr>
              <w:t>砂轮回转角度</w:t>
            </w:r>
          </w:p>
        </w:tc>
        <w:tc>
          <w:tcPr>
            <w:tcW w:w="4261" w:type="dxa"/>
            <w:noWrap w:val="0"/>
            <w:vAlign w:val="top"/>
          </w:tcPr>
          <w:p>
            <w:pPr>
              <w:jc w:val="right"/>
              <w:rPr>
                <w:rFonts w:hint="eastAsia" w:ascii="宋体" w:hAnsi="宋体" w:eastAsia="宋体" w:cs="宋体"/>
              </w:rPr>
            </w:pPr>
            <w:r>
              <w:rPr>
                <w:rFonts w:hint="eastAsia" w:ascii="宋体" w:hAnsi="宋体" w:eastAsia="宋体" w:cs="宋体"/>
              </w:rPr>
              <w:t>顺时针10°</w:t>
            </w:r>
          </w:p>
        </w:tc>
      </w:tr>
      <w:tr>
        <w:tc>
          <w:tcPr>
            <w:tcW w:w="4261" w:type="dxa"/>
            <w:noWrap w:val="0"/>
            <w:vAlign w:val="top"/>
          </w:tcPr>
          <w:p>
            <w:pPr>
              <w:rPr>
                <w:rFonts w:hint="eastAsia" w:ascii="宋体" w:hAnsi="宋体" w:eastAsia="宋体" w:cs="宋体"/>
                <w:lang w:val="en-US" w:eastAsia="zh-CN"/>
              </w:rPr>
            </w:pPr>
            <w:r>
              <w:rPr>
                <w:rFonts w:hint="eastAsia" w:ascii="宋体" w:hAnsi="宋体" w:eastAsia="宋体" w:cs="宋体"/>
                <w:lang w:val="en-US" w:eastAsia="zh-CN"/>
              </w:rPr>
              <w:t>X向（手动\机动）</w:t>
            </w:r>
          </w:p>
        </w:tc>
        <w:tc>
          <w:tcPr>
            <w:tcW w:w="4261" w:type="dxa"/>
            <w:noWrap w:val="0"/>
            <w:vAlign w:val="top"/>
          </w:tcPr>
          <w:p>
            <w:pPr>
              <w:jc w:val="right"/>
              <w:rPr>
                <w:rFonts w:hint="eastAsia" w:ascii="宋体" w:hAnsi="宋体" w:eastAsia="宋体" w:cs="宋体"/>
                <w:lang w:val="en-US" w:eastAsia="zh-CN"/>
              </w:rPr>
            </w:pPr>
            <w:r>
              <w:rPr>
                <w:rFonts w:hint="eastAsia" w:ascii="宋体" w:hAnsi="宋体" w:eastAsia="宋体" w:cs="宋体"/>
                <w:lang w:val="en-US" w:eastAsia="zh-CN"/>
              </w:rPr>
              <w:t>900/880mm</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lang w:val="en-US" w:eastAsia="zh-CN"/>
              </w:rPr>
            </w:pPr>
            <w:r>
              <w:rPr>
                <w:rFonts w:hint="eastAsia" w:ascii="宋体" w:hAnsi="宋体" w:eastAsia="宋体" w:cs="宋体"/>
                <w:lang w:val="en-US" w:eastAsia="zh-CN"/>
              </w:rPr>
              <w:t>Y向（手动\机动）</w:t>
            </w:r>
          </w:p>
        </w:tc>
        <w:tc>
          <w:tcPr>
            <w:tcW w:w="4261" w:type="dxa"/>
            <w:noWrap w:val="0"/>
            <w:vAlign w:val="top"/>
          </w:tcPr>
          <w:p>
            <w:pPr>
              <w:jc w:val="right"/>
              <w:rPr>
                <w:rFonts w:hint="eastAsia" w:ascii="宋体" w:hAnsi="宋体" w:eastAsia="宋体" w:cs="宋体"/>
                <w:lang w:val="en-US" w:eastAsia="zh-CN"/>
              </w:rPr>
            </w:pPr>
            <w:r>
              <w:rPr>
                <w:rFonts w:hint="eastAsia" w:ascii="宋体" w:hAnsi="宋体" w:eastAsia="宋体" w:cs="宋体"/>
                <w:lang w:val="en-US" w:eastAsia="zh-CN"/>
              </w:rPr>
              <w:t>315/300mm</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lang w:val="en-US" w:eastAsia="zh-CN"/>
              </w:rPr>
            </w:pPr>
            <w:r>
              <w:rPr>
                <w:rFonts w:hint="eastAsia" w:ascii="宋体" w:hAnsi="宋体" w:eastAsia="宋体" w:cs="宋体"/>
                <w:lang w:val="en-US" w:eastAsia="zh-CN"/>
              </w:rPr>
              <w:t>Z向（手动\机动）</w:t>
            </w:r>
          </w:p>
        </w:tc>
        <w:tc>
          <w:tcPr>
            <w:tcW w:w="4261" w:type="dxa"/>
            <w:noWrap w:val="0"/>
            <w:vAlign w:val="top"/>
          </w:tcPr>
          <w:p>
            <w:pPr>
              <w:jc w:val="right"/>
              <w:rPr>
                <w:rFonts w:hint="eastAsia" w:ascii="宋体" w:hAnsi="宋体" w:eastAsia="宋体" w:cs="宋体"/>
                <w:lang w:val="en-US" w:eastAsia="zh-CN"/>
              </w:rPr>
            </w:pPr>
            <w:r>
              <w:rPr>
                <w:rFonts w:hint="eastAsia" w:ascii="宋体" w:hAnsi="宋体" w:eastAsia="宋体" w:cs="宋体"/>
                <w:lang w:val="en-US" w:eastAsia="zh-CN"/>
              </w:rPr>
              <w:t>385/365mm</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lang w:val="en-US" w:eastAsia="zh-CN"/>
              </w:rPr>
            </w:pPr>
            <w:r>
              <w:rPr>
                <w:rFonts w:hint="eastAsia" w:ascii="宋体" w:hAnsi="宋体" w:eastAsia="宋体" w:cs="宋体"/>
                <w:lang w:val="en-US" w:eastAsia="zh-CN"/>
              </w:rPr>
              <w:t>转速级数</w:t>
            </w:r>
          </w:p>
        </w:tc>
        <w:tc>
          <w:tcPr>
            <w:tcW w:w="4261" w:type="dxa"/>
            <w:noWrap w:val="0"/>
            <w:vAlign w:val="top"/>
          </w:tcPr>
          <w:p>
            <w:pPr>
              <w:jc w:val="right"/>
              <w:rPr>
                <w:rFonts w:hint="eastAsia" w:ascii="宋体" w:hAnsi="宋体" w:eastAsia="宋体" w:cs="宋体"/>
                <w:lang w:val="en-US" w:eastAsia="zh-CN"/>
              </w:rPr>
            </w:pPr>
            <w:r>
              <w:rPr>
                <w:rFonts w:hint="eastAsia" w:ascii="宋体" w:hAnsi="宋体" w:eastAsia="宋体" w:cs="宋体"/>
                <w:lang w:val="en-US" w:eastAsia="zh-CN"/>
              </w:rPr>
              <w:t>18</w:t>
            </w:r>
          </w:p>
        </w:tc>
      </w:tr>
    </w:tbl>
    <w:p>
      <w:pPr>
        <w:pStyle w:val="2"/>
        <w:rPr>
          <w:rFonts w:hint="eastAsia" w:ascii="宋体" w:hAnsi="宋体" w:eastAsia="宋体" w:cs="宋体"/>
          <w:b/>
          <w:bCs/>
          <w:color w:val="0000FF"/>
          <w:sz w:val="24"/>
          <w:szCs w:val="21"/>
          <w:lang w:val="en-US" w:eastAsia="zh-CN"/>
        </w:rPr>
      </w:pPr>
      <w:r>
        <w:rPr>
          <w:rFonts w:hint="eastAsia" w:ascii="宋体" w:hAnsi="宋体" w:eastAsia="宋体" w:cs="宋体"/>
          <w:b/>
          <w:bCs/>
          <w:color w:val="0000FF"/>
          <w:sz w:val="24"/>
          <w:szCs w:val="21"/>
          <w:lang w:val="en-US" w:eastAsia="zh-CN"/>
        </w:rPr>
        <w:t>7：锯床：</w:t>
      </w:r>
    </w:p>
    <w:p>
      <w:pPr>
        <w:pStyle w:val="2"/>
        <w:rPr>
          <w:rFonts w:hint="eastAsia" w:ascii="宋体" w:hAnsi="宋体" w:eastAsia="宋体" w:cs="宋体"/>
          <w:b/>
          <w:bCs/>
          <w:color w:val="000000" w:themeColor="text1"/>
          <w:sz w:val="24"/>
          <w:szCs w:val="21"/>
          <w:lang w:val="en-US" w:eastAsia="zh-CN"/>
          <w14:textFill>
            <w14:solidFill>
              <w14:schemeClr w14:val="tx1"/>
            </w14:solidFill>
          </w14:textFill>
        </w:rPr>
      </w:pPr>
      <w:r>
        <w:rPr>
          <w:rFonts w:hint="eastAsia" w:ascii="宋体" w:hAnsi="宋体" w:eastAsia="宋体" w:cs="宋体"/>
          <w:b/>
          <w:bCs/>
          <w:color w:val="000000" w:themeColor="text1"/>
          <w:sz w:val="24"/>
          <w:szCs w:val="21"/>
          <w:lang w:val="en-US" w:eastAsia="zh-CN"/>
          <w14:textFill>
            <w14:solidFill>
              <w14:schemeClr w14:val="tx1"/>
            </w14:solidFill>
          </w14:textFill>
        </w:rPr>
        <w:t>双柱卧式带锯床</w:t>
      </w:r>
    </w:p>
    <w:p>
      <w:pPr>
        <w:keepNext w:val="0"/>
        <w:keepLines w:val="0"/>
        <w:widowControl/>
        <w:suppressLineNumbers w:val="0"/>
        <w:jc w:val="left"/>
      </w:pPr>
      <w:r>
        <w:rPr>
          <w:rFonts w:hint="eastAsia" w:ascii="TT21o00" w:hAnsi="TT21o00" w:eastAsia="TT21o00" w:cs="TT21o00"/>
          <w:color w:val="000000"/>
          <w:kern w:val="0"/>
          <w:sz w:val="28"/>
          <w:szCs w:val="28"/>
          <w:lang w:val="en-US" w:eastAsia="zh-CN" w:bidi="ar"/>
        </w:rPr>
        <w:t>一、</w:t>
      </w:r>
      <w:r>
        <w:rPr>
          <w:rFonts w:hint="default" w:ascii="TT21o00" w:hAnsi="TT21o00" w:eastAsia="TT21o00" w:cs="TT21o00"/>
          <w:color w:val="000000"/>
          <w:kern w:val="0"/>
          <w:sz w:val="28"/>
          <w:szCs w:val="28"/>
          <w:lang w:val="en-US" w:eastAsia="zh-CN" w:bidi="ar"/>
        </w:rPr>
        <w:t>机床的主要特点和功能：</w:t>
      </w:r>
    </w:p>
    <w:p>
      <w:pPr>
        <w:keepNext w:val="0"/>
        <w:keepLines w:val="0"/>
        <w:widowControl/>
        <w:suppressLineNumbers w:val="0"/>
        <w:jc w:val="left"/>
      </w:pPr>
      <w:r>
        <w:rPr>
          <w:rFonts w:hint="default" w:ascii="Times New Roman" w:hAnsi="Times New Roman" w:eastAsia="宋体" w:cs="Times New Roman"/>
          <w:color w:val="000000"/>
          <w:kern w:val="0"/>
          <w:sz w:val="28"/>
          <w:szCs w:val="28"/>
          <w:lang w:val="en-US" w:eastAsia="zh-CN" w:bidi="ar"/>
        </w:rPr>
        <w:t xml:space="preserve">1. </w:t>
      </w:r>
      <w:r>
        <w:rPr>
          <w:rFonts w:ascii="TT22o00" w:hAnsi="TT22o00" w:eastAsia="TT22o00" w:cs="TT22o00"/>
          <w:color w:val="000000"/>
          <w:kern w:val="0"/>
          <w:sz w:val="28"/>
          <w:szCs w:val="28"/>
          <w:lang w:val="en-US" w:eastAsia="zh-CN" w:bidi="ar"/>
        </w:rPr>
        <w:t xml:space="preserve">机床通过机械、电气、液压的配合，具有自动夹紧、自动进刀、 </w:t>
      </w:r>
    </w:p>
    <w:p>
      <w:pPr>
        <w:keepNext w:val="0"/>
        <w:keepLines w:val="0"/>
        <w:widowControl/>
        <w:suppressLineNumbers w:val="0"/>
        <w:jc w:val="left"/>
      </w:pPr>
      <w:r>
        <w:rPr>
          <w:rFonts w:hint="default" w:ascii="TT22o00" w:hAnsi="TT22o00" w:eastAsia="TT22o00" w:cs="TT22o00"/>
          <w:color w:val="000000"/>
          <w:kern w:val="0"/>
          <w:sz w:val="28"/>
          <w:szCs w:val="28"/>
          <w:lang w:val="en-US" w:eastAsia="zh-CN" w:bidi="ar"/>
        </w:rPr>
        <w:t xml:space="preserve">切割完毕锯架自动快速退刀的功能。 </w:t>
      </w:r>
    </w:p>
    <w:p>
      <w:pPr>
        <w:keepNext w:val="0"/>
        <w:keepLines w:val="0"/>
        <w:widowControl/>
        <w:suppressLineNumbers w:val="0"/>
        <w:jc w:val="left"/>
      </w:pPr>
      <w:r>
        <w:rPr>
          <w:rFonts w:hint="default" w:ascii="Times New Roman" w:hAnsi="Times New Roman" w:eastAsia="宋体" w:cs="Times New Roman"/>
          <w:color w:val="000000"/>
          <w:kern w:val="0"/>
          <w:sz w:val="28"/>
          <w:szCs w:val="28"/>
          <w:lang w:val="en-US" w:eastAsia="zh-CN" w:bidi="ar"/>
        </w:rPr>
        <w:t xml:space="preserve">2. </w:t>
      </w:r>
      <w:r>
        <w:rPr>
          <w:rFonts w:hint="default" w:ascii="TT22o00" w:hAnsi="TT22o00" w:eastAsia="TT22o00" w:cs="TT22o00"/>
          <w:color w:val="000000"/>
          <w:kern w:val="0"/>
          <w:sz w:val="28"/>
          <w:szCs w:val="28"/>
          <w:lang w:val="en-US" w:eastAsia="zh-CN" w:bidi="ar"/>
        </w:rPr>
        <w:t xml:space="preserve">配置大功率蜗轮减速机，动力强劲、可靠性高，能满足长时间 </w:t>
      </w:r>
    </w:p>
    <w:p>
      <w:pPr>
        <w:keepNext w:val="0"/>
        <w:keepLines w:val="0"/>
        <w:widowControl/>
        <w:suppressLineNumbers w:val="0"/>
        <w:jc w:val="left"/>
      </w:pPr>
      <w:r>
        <w:rPr>
          <w:rFonts w:hint="default" w:ascii="TT22o00" w:hAnsi="TT22o00" w:eastAsia="TT22o00" w:cs="TT22o00"/>
          <w:color w:val="000000"/>
          <w:kern w:val="0"/>
          <w:sz w:val="28"/>
          <w:szCs w:val="28"/>
          <w:lang w:val="en-US" w:eastAsia="zh-CN" w:bidi="ar"/>
        </w:rPr>
        <w:t xml:space="preserve">运转。 </w:t>
      </w:r>
    </w:p>
    <w:p>
      <w:pPr>
        <w:keepNext w:val="0"/>
        <w:keepLines w:val="0"/>
        <w:widowControl/>
        <w:suppressLineNumbers w:val="0"/>
        <w:jc w:val="left"/>
      </w:pPr>
      <w:r>
        <w:rPr>
          <w:rFonts w:hint="default" w:ascii="Times New Roman" w:hAnsi="Times New Roman" w:eastAsia="宋体" w:cs="Times New Roman"/>
          <w:color w:val="000000"/>
          <w:kern w:val="0"/>
          <w:sz w:val="28"/>
          <w:szCs w:val="28"/>
          <w:lang w:val="en-US" w:eastAsia="zh-CN" w:bidi="ar"/>
        </w:rPr>
        <w:t xml:space="preserve">3. </w:t>
      </w:r>
      <w:r>
        <w:rPr>
          <w:rFonts w:hint="default" w:ascii="TT22o00" w:hAnsi="TT22o00" w:eastAsia="TT22o00" w:cs="TT22o00"/>
          <w:color w:val="000000"/>
          <w:kern w:val="0"/>
          <w:sz w:val="28"/>
          <w:szCs w:val="28"/>
          <w:lang w:val="en-US" w:eastAsia="zh-CN" w:bidi="ar"/>
        </w:rPr>
        <w:t xml:space="preserve">锯切进给采用液压控制，通过调速阀调节，可实现无级调速。 </w:t>
      </w:r>
    </w:p>
    <w:p>
      <w:pPr>
        <w:keepNext w:val="0"/>
        <w:keepLines w:val="0"/>
        <w:widowControl/>
        <w:suppressLineNumbers w:val="0"/>
        <w:jc w:val="left"/>
      </w:pPr>
      <w:r>
        <w:rPr>
          <w:rFonts w:hint="default" w:ascii="Times New Roman" w:hAnsi="Times New Roman" w:eastAsia="宋体" w:cs="Times New Roman"/>
          <w:color w:val="000000"/>
          <w:kern w:val="0"/>
          <w:sz w:val="28"/>
          <w:szCs w:val="28"/>
          <w:lang w:val="en-US" w:eastAsia="zh-CN" w:bidi="ar"/>
        </w:rPr>
        <w:t xml:space="preserve">4. </w:t>
      </w:r>
      <w:r>
        <w:rPr>
          <w:rFonts w:hint="default" w:ascii="TT22o00" w:hAnsi="TT22o00" w:eastAsia="TT22o00" w:cs="TT22o00"/>
          <w:color w:val="000000"/>
          <w:kern w:val="0"/>
          <w:sz w:val="28"/>
          <w:szCs w:val="28"/>
          <w:lang w:val="en-US" w:eastAsia="zh-CN" w:bidi="ar"/>
        </w:rPr>
        <w:t xml:space="preserve">采用设计简洁之电路板以及电器箱优异的空间，不仅确保机 </w:t>
      </w:r>
    </w:p>
    <w:p>
      <w:pPr>
        <w:keepNext w:val="0"/>
        <w:keepLines w:val="0"/>
        <w:widowControl/>
        <w:suppressLineNumbers w:val="0"/>
        <w:jc w:val="left"/>
      </w:pPr>
      <w:r>
        <w:rPr>
          <w:rFonts w:hint="default" w:ascii="TT22o00" w:hAnsi="TT22o00" w:eastAsia="TT22o00" w:cs="TT22o00"/>
          <w:color w:val="000000"/>
          <w:kern w:val="0"/>
          <w:sz w:val="28"/>
          <w:szCs w:val="28"/>
          <w:lang w:val="en-US" w:eastAsia="zh-CN" w:bidi="ar"/>
        </w:rPr>
        <w:t>器低故障率且方便维修并节省空间。</w:t>
      </w:r>
    </w:p>
    <w:p>
      <w:pPr>
        <w:keepNext w:val="0"/>
        <w:keepLines w:val="0"/>
        <w:widowControl/>
        <w:suppressLineNumbers w:val="0"/>
        <w:jc w:val="left"/>
      </w:pPr>
      <w:r>
        <w:rPr>
          <w:rFonts w:hint="default" w:ascii="Times New Roman" w:hAnsi="Times New Roman" w:eastAsia="宋体" w:cs="Times New Roman"/>
          <w:color w:val="000000"/>
          <w:kern w:val="0"/>
          <w:sz w:val="28"/>
          <w:szCs w:val="28"/>
          <w:lang w:val="en-US" w:eastAsia="zh-CN" w:bidi="ar"/>
        </w:rPr>
        <w:t xml:space="preserve">5. </w:t>
      </w:r>
      <w:r>
        <w:rPr>
          <w:rFonts w:hint="default" w:ascii="TT22o00" w:hAnsi="TT22o00" w:eastAsia="TT22o00" w:cs="TT22o00"/>
          <w:color w:val="000000"/>
          <w:kern w:val="0"/>
          <w:sz w:val="28"/>
          <w:szCs w:val="28"/>
          <w:lang w:val="en-US" w:eastAsia="zh-CN" w:bidi="ar"/>
        </w:rPr>
        <w:t xml:space="preserve">采用液压夹紧工件。 </w:t>
      </w:r>
    </w:p>
    <w:p>
      <w:pPr>
        <w:keepNext w:val="0"/>
        <w:keepLines w:val="0"/>
        <w:widowControl/>
        <w:suppressLineNumbers w:val="0"/>
        <w:jc w:val="left"/>
      </w:pPr>
      <w:r>
        <w:rPr>
          <w:rFonts w:hint="default" w:ascii="Times New Roman" w:hAnsi="Times New Roman" w:eastAsia="宋体" w:cs="Times New Roman"/>
          <w:color w:val="000000"/>
          <w:kern w:val="0"/>
          <w:sz w:val="28"/>
          <w:szCs w:val="28"/>
          <w:lang w:val="en-US" w:eastAsia="zh-CN" w:bidi="ar"/>
        </w:rPr>
        <w:t xml:space="preserve">6. </w:t>
      </w:r>
      <w:r>
        <w:rPr>
          <w:rFonts w:hint="default" w:ascii="TT22o00" w:hAnsi="TT22o00" w:eastAsia="TT22o00" w:cs="TT22o00"/>
          <w:color w:val="000000"/>
          <w:kern w:val="0"/>
          <w:sz w:val="28"/>
          <w:szCs w:val="28"/>
          <w:lang w:val="en-US" w:eastAsia="zh-CN" w:bidi="ar"/>
        </w:rPr>
        <w:t xml:space="preserve">采用精磨圆柱导向，运动精度高、耐磨性好。 </w:t>
      </w:r>
      <w:r>
        <w:rPr>
          <w:rFonts w:hint="default" w:ascii="TT21o00" w:hAnsi="TT21o00" w:eastAsia="TT21o00" w:cs="TT21o00"/>
          <w:color w:val="000000"/>
          <w:kern w:val="0"/>
          <w:sz w:val="28"/>
          <w:szCs w:val="28"/>
          <w:lang w:val="en-US" w:eastAsia="zh-CN" w:bidi="ar"/>
        </w:rPr>
        <w:t xml:space="preserve"> </w:t>
      </w:r>
    </w:p>
    <w:p>
      <w:pPr>
        <w:keepNext w:val="0"/>
        <w:keepLines w:val="0"/>
        <w:widowControl/>
        <w:suppressLineNumbers w:val="0"/>
        <w:jc w:val="left"/>
      </w:pPr>
      <w:r>
        <w:rPr>
          <w:rFonts w:hint="eastAsia" w:ascii="TT22o00" w:hAnsi="TT22o00" w:eastAsia="TT22o00" w:cs="TT22o00"/>
          <w:color w:val="000000"/>
          <w:kern w:val="0"/>
          <w:sz w:val="28"/>
          <w:szCs w:val="28"/>
          <w:lang w:val="en-US" w:eastAsia="zh-CN" w:bidi="ar"/>
        </w:rPr>
        <w:t>二、</w:t>
      </w:r>
      <w:r>
        <w:rPr>
          <w:rFonts w:hint="default" w:ascii="TT22o00" w:hAnsi="TT22o00" w:eastAsia="TT22o00" w:cs="TT22o00"/>
          <w:color w:val="000000"/>
          <w:kern w:val="0"/>
          <w:sz w:val="28"/>
          <w:szCs w:val="28"/>
          <w:lang w:val="en-US" w:eastAsia="zh-CN" w:bidi="ar"/>
        </w:rPr>
        <w:t xml:space="preserve">机床主要技术参数表 </w:t>
      </w:r>
    </w:p>
    <w:tbl>
      <w:tblPr>
        <w:tblStyle w:val="5"/>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最大锯削范围</w:t>
            </w:r>
          </w:p>
        </w:tc>
        <w:tc>
          <w:tcPr>
            <w:tcW w:w="4261" w:type="dxa"/>
            <w:noWrap w:val="0"/>
            <w:vAlign w:val="top"/>
          </w:tcPr>
          <w:p>
            <w:pPr>
              <w:jc w:val="right"/>
              <w:rPr>
                <w:rFonts w:hint="eastAsia" w:ascii="宋体" w:hAnsi="宋体" w:eastAsia="宋体" w:cs="宋体"/>
                <w:sz w:val="21"/>
                <w:szCs w:val="21"/>
              </w:rPr>
            </w:pPr>
            <w:r>
              <w:rPr>
                <w:rFonts w:hint="eastAsia" w:ascii="宋体" w:hAnsi="宋体" w:eastAsia="宋体" w:cs="宋体"/>
                <w:b w:val="0"/>
                <w:bCs w:val="0"/>
                <w:color w:val="000000" w:themeColor="text1"/>
                <w:sz w:val="21"/>
                <w:szCs w:val="21"/>
                <w:vertAlign w:val="baseline"/>
                <w:lang w:val="en-US" w:eastAsia="zh-CN"/>
                <w14:textFill>
                  <w14:solidFill>
                    <w14:schemeClr w14:val="tx1"/>
                  </w14:solidFill>
                </w14:textFill>
              </w:rPr>
              <w:t>300*300mm</w:t>
            </w:r>
          </w:p>
        </w:tc>
      </w:tr>
      <w:tr>
        <w:tblPrEx>
          <w:tblCellMar>
            <w:top w:w="0" w:type="dxa"/>
            <w:left w:w="108" w:type="dxa"/>
            <w:bottom w:w="0" w:type="dxa"/>
            <w:right w:w="108" w:type="dxa"/>
          </w:tblCellMar>
        </w:tblPrEx>
        <w:trPr>
          <w:trHeight w:val="309" w:hRule="atLeast"/>
        </w:trPr>
        <w:tc>
          <w:tcPr>
            <w:tcW w:w="4261" w:type="dxa"/>
            <w:noWrap w:val="0"/>
            <w:vAlign w:val="top"/>
          </w:tcPr>
          <w:p>
            <w:pP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带锯条规格（长*宽*厚）</w:t>
            </w:r>
          </w:p>
        </w:tc>
        <w:tc>
          <w:tcPr>
            <w:tcW w:w="4261" w:type="dxa"/>
            <w:noWrap w:val="0"/>
            <w:vAlign w:val="top"/>
          </w:tcPr>
          <w:p>
            <w:pPr>
              <w:jc w:val="righ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4115*34*1.1</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锯切速度</w:t>
            </w:r>
          </w:p>
        </w:tc>
        <w:tc>
          <w:tcPr>
            <w:tcW w:w="4261" w:type="dxa"/>
            <w:noWrap w:val="0"/>
            <w:vAlign w:val="top"/>
          </w:tcPr>
          <w:p>
            <w:pPr>
              <w:jc w:val="righ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29/54/68</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进给速度</w:t>
            </w:r>
          </w:p>
        </w:tc>
        <w:tc>
          <w:tcPr>
            <w:tcW w:w="4261" w:type="dxa"/>
            <w:noWrap w:val="0"/>
            <w:vAlign w:val="top"/>
          </w:tcPr>
          <w:p>
            <w:pPr>
              <w:jc w:val="righ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液压无极调速</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夹紧方式</w:t>
            </w:r>
          </w:p>
        </w:tc>
        <w:tc>
          <w:tcPr>
            <w:tcW w:w="4261" w:type="dxa"/>
            <w:noWrap w:val="0"/>
            <w:vAlign w:val="top"/>
          </w:tcPr>
          <w:p>
            <w:pPr>
              <w:jc w:val="righ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手液结合</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锯带张紧方式</w:t>
            </w:r>
          </w:p>
        </w:tc>
        <w:tc>
          <w:tcPr>
            <w:tcW w:w="4261" w:type="dxa"/>
            <w:noWrap w:val="0"/>
            <w:vAlign w:val="top"/>
          </w:tcPr>
          <w:p>
            <w:pPr>
              <w:jc w:val="righ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手动张紧</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bidi="ar"/>
              </w:rPr>
              <w:t>主传动方式</w:t>
            </w:r>
          </w:p>
        </w:tc>
        <w:tc>
          <w:tcPr>
            <w:tcW w:w="4261" w:type="dxa"/>
            <w:noWrap w:val="0"/>
            <w:vAlign w:val="top"/>
          </w:tcPr>
          <w:p>
            <w:pPr>
              <w:jc w:val="right"/>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bidi="ar"/>
              </w:rPr>
              <w:t>蜗轮传动</w:t>
            </w:r>
          </w:p>
        </w:tc>
      </w:tr>
      <w:tr>
        <w:tblPrEx>
          <w:tblCellMar>
            <w:top w:w="0" w:type="dxa"/>
            <w:left w:w="108" w:type="dxa"/>
            <w:bottom w:w="0" w:type="dxa"/>
            <w:right w:w="108" w:type="dxa"/>
          </w:tblCellMar>
        </w:tblPrEx>
        <w:tc>
          <w:tcPr>
            <w:tcW w:w="4261" w:type="dxa"/>
            <w:noWrap w:val="0"/>
            <w:vAlign w:val="top"/>
          </w:tcPr>
          <w:p>
            <w:pPr>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bidi="ar"/>
              </w:rPr>
              <w:t>锯屑清理方式</w:t>
            </w:r>
          </w:p>
        </w:tc>
        <w:tc>
          <w:tcPr>
            <w:tcW w:w="4261" w:type="dxa"/>
            <w:noWrap w:val="0"/>
            <w:vAlign w:val="top"/>
          </w:tcPr>
          <w:p>
            <w:pPr>
              <w:jc w:val="right"/>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bidi="ar"/>
              </w:rPr>
              <w:t>钢丝刷</w:t>
            </w:r>
          </w:p>
        </w:tc>
      </w:tr>
    </w:tbl>
    <w:p>
      <w:pPr>
        <w:pStyle w:val="2"/>
        <w:rPr>
          <w:rFonts w:hint="eastAsia" w:ascii="宋体" w:hAnsi="宋体" w:eastAsia="宋体" w:cs="宋体"/>
          <w:b/>
          <w:bCs/>
          <w:color w:val="0000FF"/>
          <w:sz w:val="24"/>
          <w:szCs w:val="21"/>
          <w:lang w:val="en-US" w:eastAsia="zh-CN"/>
        </w:rPr>
      </w:pPr>
      <w:r>
        <w:rPr>
          <w:rFonts w:hint="eastAsia" w:ascii="宋体" w:hAnsi="宋体" w:eastAsia="宋体" w:cs="宋体"/>
          <w:b/>
          <w:bCs/>
          <w:color w:val="0000FF"/>
          <w:sz w:val="24"/>
          <w:szCs w:val="21"/>
          <w:lang w:val="en-US" w:eastAsia="zh-CN"/>
        </w:rPr>
        <w:t>8悬臂吊：（3套）</w:t>
      </w:r>
    </w:p>
    <w:p>
      <w:pPr>
        <w:pStyle w:val="2"/>
        <w:rPr>
          <w:rFonts w:hint="eastAsia" w:ascii="宋体" w:hAnsi="宋体" w:eastAsia="宋体" w:cs="宋体"/>
          <w:b/>
          <w:bCs/>
          <w:color w:val="000000" w:themeColor="text1"/>
          <w:sz w:val="24"/>
          <w:szCs w:val="21"/>
          <w:lang w:val="en-US" w:eastAsia="zh-CN"/>
          <w14:textFill>
            <w14:solidFill>
              <w14:schemeClr w14:val="tx1"/>
            </w14:solidFill>
          </w14:textFill>
        </w:rPr>
      </w:pPr>
      <w:r>
        <w:rPr>
          <w:rFonts w:hint="eastAsia" w:ascii="宋体" w:hAnsi="宋体" w:eastAsia="宋体" w:cs="宋体"/>
          <w:b/>
          <w:bCs/>
          <w:color w:val="000000" w:themeColor="text1"/>
          <w:sz w:val="24"/>
          <w:szCs w:val="21"/>
          <w:lang w:val="en-US" w:eastAsia="zh-CN"/>
          <w14:textFill>
            <w14:solidFill>
              <w14:schemeClr w14:val="tx1"/>
            </w14:solidFill>
          </w14:textFill>
        </w:rPr>
        <w:t>技术要求：</w:t>
      </w:r>
    </w:p>
    <w:p>
      <w:pPr>
        <w:pStyle w:val="2"/>
        <w:rPr>
          <w:rFonts w:hint="eastAsia" w:ascii="宋体" w:hAnsi="宋体" w:eastAsia="宋体" w:cs="宋体"/>
          <w:b w:val="0"/>
          <w:bCs w:val="0"/>
          <w:color w:val="000000" w:themeColor="text1"/>
          <w:sz w:val="24"/>
          <w:szCs w:val="21"/>
          <w:lang w:val="en-US" w:eastAsia="zh-CN"/>
          <w14:textFill>
            <w14:solidFill>
              <w14:schemeClr w14:val="tx1"/>
            </w14:solidFill>
          </w14:textFill>
        </w:rPr>
      </w:pPr>
      <w:r>
        <w:rPr>
          <w:rFonts w:hint="eastAsia" w:ascii="宋体" w:hAnsi="宋体" w:eastAsia="宋体" w:cs="宋体"/>
          <w:b w:val="0"/>
          <w:bCs w:val="0"/>
          <w:color w:val="000000" w:themeColor="text1"/>
          <w:sz w:val="24"/>
          <w:szCs w:val="21"/>
          <w:lang w:val="en-US" w:eastAsia="zh-CN"/>
          <w14:textFill>
            <w14:solidFill>
              <w14:schemeClr w14:val="tx1"/>
            </w14:solidFill>
          </w14:textFill>
        </w:rPr>
        <w:t>最大起重重量：2吨    最大起重重量：1吨   最大起重重量：0.5吨</w:t>
      </w:r>
    </w:p>
    <w:p>
      <w:pPr>
        <w:pStyle w:val="2"/>
        <w:rPr>
          <w:rFonts w:hint="eastAsia" w:ascii="宋体" w:hAnsi="宋体" w:eastAsia="宋体" w:cs="宋体"/>
          <w:b w:val="0"/>
          <w:bCs w:val="0"/>
          <w:color w:val="000000" w:themeColor="text1"/>
          <w:sz w:val="24"/>
          <w:szCs w:val="21"/>
          <w:lang w:val="en-US" w:eastAsia="zh-CN"/>
          <w14:textFill>
            <w14:solidFill>
              <w14:schemeClr w14:val="tx1"/>
            </w14:solidFill>
          </w14:textFill>
        </w:rPr>
      </w:pPr>
      <w:r>
        <w:rPr>
          <w:rFonts w:hint="eastAsia" w:ascii="宋体" w:hAnsi="宋体" w:eastAsia="宋体" w:cs="宋体"/>
          <w:b w:val="0"/>
          <w:bCs w:val="0"/>
          <w:color w:val="000000" w:themeColor="text1"/>
          <w:sz w:val="24"/>
          <w:szCs w:val="21"/>
          <w:lang w:val="en-US" w:eastAsia="zh-CN"/>
          <w14:textFill>
            <w14:solidFill>
              <w14:schemeClr w14:val="tx1"/>
            </w14:solidFill>
          </w14:textFill>
        </w:rPr>
        <w:t>最高起吊高度：4米</w:t>
      </w:r>
    </w:p>
    <w:p>
      <w:pPr>
        <w:pStyle w:val="2"/>
        <w:rPr>
          <w:rFonts w:hint="eastAsia" w:ascii="宋体" w:hAnsi="宋体" w:eastAsia="宋体" w:cs="宋体"/>
          <w:b w:val="0"/>
          <w:bCs w:val="0"/>
          <w:color w:val="000000" w:themeColor="text1"/>
          <w:sz w:val="24"/>
          <w:szCs w:val="21"/>
          <w:lang w:val="en-US" w:eastAsia="zh-CN"/>
          <w14:textFill>
            <w14:solidFill>
              <w14:schemeClr w14:val="tx1"/>
            </w14:solidFill>
          </w14:textFill>
        </w:rPr>
      </w:pPr>
      <w:r>
        <w:rPr>
          <w:rFonts w:hint="eastAsia" w:ascii="宋体" w:hAnsi="宋体" w:eastAsia="宋体" w:cs="宋体"/>
          <w:b w:val="0"/>
          <w:bCs w:val="0"/>
          <w:color w:val="000000" w:themeColor="text1"/>
          <w:sz w:val="24"/>
          <w:szCs w:val="21"/>
          <w:lang w:val="en-US" w:eastAsia="zh-CN"/>
          <w14:textFill>
            <w14:solidFill>
              <w14:schemeClr w14:val="tx1"/>
            </w14:solidFill>
          </w14:textFill>
        </w:rPr>
        <w:t>最大旋转半径：3米</w:t>
      </w:r>
    </w:p>
    <w:p>
      <w:pPr>
        <w:pStyle w:val="2"/>
        <w:rPr>
          <w:rFonts w:hint="default" w:ascii="宋体" w:hAnsi="宋体" w:eastAsia="宋体" w:cs="宋体"/>
          <w:b w:val="0"/>
          <w:bCs w:val="0"/>
          <w:color w:val="000000" w:themeColor="text1"/>
          <w:sz w:val="24"/>
          <w:szCs w:val="21"/>
          <w:lang w:val="en-US" w:eastAsia="zh-CN"/>
          <w14:textFill>
            <w14:solidFill>
              <w14:schemeClr w14:val="tx1"/>
            </w14:solidFill>
          </w14:textFill>
        </w:rPr>
      </w:pPr>
      <w:r>
        <w:rPr>
          <w:rFonts w:hint="eastAsia" w:ascii="宋体" w:hAnsi="宋体" w:eastAsia="宋体" w:cs="宋体"/>
          <w:b w:val="0"/>
          <w:bCs w:val="0"/>
          <w:color w:val="000000" w:themeColor="text1"/>
          <w:sz w:val="24"/>
          <w:szCs w:val="21"/>
          <w:lang w:val="en-US" w:eastAsia="zh-CN"/>
          <w14:textFill>
            <w14:solidFill>
              <w14:schemeClr w14:val="tx1"/>
            </w14:solidFill>
          </w14:textFill>
        </w:rPr>
        <w:t>旋转角度：270°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482" w:firstLineChars="20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十、所属行业分类</w:t>
      </w:r>
      <w:r>
        <w:rPr>
          <w:rFonts w:hint="eastAsia" w:asciiTheme="minorEastAsia" w:hAnsiTheme="minorEastAsia" w:eastAsiaTheme="minorEastAsia" w:cstheme="minorEastAsia"/>
          <w:b w:val="0"/>
          <w:bCs w:val="0"/>
          <w:color w:val="auto"/>
          <w:kern w:val="0"/>
          <w:sz w:val="24"/>
          <w:szCs w:val="24"/>
          <w:lang w:val="en-US" w:eastAsia="zh-CN" w:bidi="ar"/>
        </w:rPr>
        <w:t xml:space="preserve">：有色金属加工类 </w:t>
      </w:r>
    </w:p>
    <w:p>
      <w:pPr>
        <w:numPr>
          <w:ilvl w:val="0"/>
          <w:numId w:val="0"/>
        </w:numPr>
        <w:spacing w:after="0" w:line="500" w:lineRule="atLeast"/>
        <w:ind w:left="480" w:leftChars="0"/>
        <w:rPr>
          <w:rFonts w:ascii="宋体" w:hAnsi="宋体" w:eastAsia="宋体"/>
          <w:sz w:val="24"/>
          <w:szCs w:val="24"/>
        </w:rPr>
      </w:pPr>
      <w:r>
        <w:rPr>
          <w:rFonts w:hint="eastAsia" w:asciiTheme="minorEastAsia" w:hAnsiTheme="minorEastAsia" w:eastAsiaTheme="minorEastAsia" w:cstheme="minorEastAsia"/>
          <w:b/>
          <w:bCs/>
          <w:color w:val="auto"/>
          <w:kern w:val="0"/>
          <w:sz w:val="24"/>
          <w:szCs w:val="24"/>
          <w:lang w:val="en-US" w:eastAsia="zh-CN" w:bidi="ar"/>
        </w:rPr>
        <w:t>十一、招标文件获取</w:t>
      </w:r>
      <w:r>
        <w:rPr>
          <w:rFonts w:hint="eastAsia" w:asciiTheme="minorEastAsia" w:hAnsiTheme="minorEastAsia" w:eastAsiaTheme="minorEastAsia" w:cstheme="minorEastAsia"/>
          <w:b w:val="0"/>
          <w:bCs w:val="0"/>
          <w:color w:val="auto"/>
          <w:kern w:val="0"/>
          <w:sz w:val="24"/>
          <w:szCs w:val="24"/>
          <w:lang w:val="en-US" w:eastAsia="zh-CN" w:bidi="ar"/>
        </w:rPr>
        <w:t>：</w:t>
      </w:r>
      <w:r>
        <w:rPr>
          <w:rFonts w:hint="eastAsia" w:ascii="宋体" w:hAnsi="宋体" w:eastAsia="宋体"/>
          <w:sz w:val="24"/>
          <w:szCs w:val="24"/>
          <w:lang w:val="en-US" w:eastAsia="zh-CN"/>
        </w:rPr>
        <w:t>1、2021</w:t>
      </w:r>
      <w:r>
        <w:rPr>
          <w:rFonts w:hint="eastAsia" w:ascii="宋体" w:hAnsi="宋体" w:eastAsia="宋体"/>
          <w:sz w:val="24"/>
          <w:szCs w:val="24"/>
        </w:rPr>
        <w:t>年</w:t>
      </w:r>
      <w:r>
        <w:rPr>
          <w:rFonts w:hint="eastAsia" w:ascii="宋体" w:hAnsi="宋体"/>
          <w:sz w:val="24"/>
          <w:szCs w:val="24"/>
          <w:lang w:val="en-US" w:eastAsia="zh-CN"/>
        </w:rPr>
        <w:t>12</w:t>
      </w:r>
      <w:r>
        <w:rPr>
          <w:rFonts w:hint="eastAsia" w:ascii="宋体" w:hAnsi="宋体" w:eastAsia="宋体"/>
          <w:sz w:val="24"/>
          <w:szCs w:val="24"/>
          <w:lang w:val="en-US" w:eastAsia="zh-CN"/>
        </w:rPr>
        <w:t xml:space="preserve"> </w:t>
      </w:r>
      <w:r>
        <w:rPr>
          <w:rFonts w:hint="eastAsia" w:ascii="宋体" w:hAnsi="宋体" w:eastAsia="宋体"/>
          <w:sz w:val="24"/>
          <w:szCs w:val="24"/>
        </w:rPr>
        <w:t>月</w:t>
      </w:r>
      <w:r>
        <w:rPr>
          <w:rFonts w:hint="eastAsia" w:ascii="宋体" w:hAnsi="宋体" w:eastAsia="宋体"/>
          <w:sz w:val="24"/>
          <w:szCs w:val="24"/>
          <w:lang w:val="en-US" w:eastAsia="zh-CN"/>
        </w:rPr>
        <w:t>28</w:t>
      </w:r>
      <w:r>
        <w:rPr>
          <w:rFonts w:hint="eastAsia" w:ascii="宋体" w:hAnsi="宋体" w:eastAsia="宋体"/>
          <w:sz w:val="24"/>
          <w:szCs w:val="24"/>
        </w:rPr>
        <w:t>日在宝钛集团有限公司官方网站上发布招标公告。</w:t>
      </w:r>
    </w:p>
    <w:p>
      <w:pPr>
        <w:spacing w:after="0" w:line="500" w:lineRule="atLeast"/>
        <w:ind w:firstLine="480" w:firstLineChars="200"/>
        <w:rPr>
          <w:rFonts w:ascii="宋体" w:hAnsi="宋体" w:eastAsia="宋体"/>
          <w:sz w:val="24"/>
          <w:szCs w:val="24"/>
        </w:rPr>
      </w:pPr>
      <w:r>
        <w:rPr>
          <w:rFonts w:hint="eastAsia" w:ascii="宋体" w:hAnsi="宋体" w:eastAsia="宋体"/>
          <w:sz w:val="24"/>
          <w:szCs w:val="24"/>
        </w:rPr>
        <w:t>2、预审会召开时间：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4</w:t>
      </w:r>
      <w:r>
        <w:rPr>
          <w:rFonts w:hint="eastAsia" w:ascii="宋体" w:hAnsi="宋体" w:eastAsia="宋体"/>
          <w:sz w:val="24"/>
          <w:szCs w:val="24"/>
        </w:rPr>
        <w:t>日</w:t>
      </w:r>
      <w:r>
        <w:rPr>
          <w:rFonts w:hint="eastAsia" w:ascii="宋体" w:hAnsi="宋体" w:eastAsia="宋体"/>
          <w:sz w:val="24"/>
          <w:szCs w:val="24"/>
          <w:lang w:val="en-US" w:eastAsia="zh-CN"/>
        </w:rPr>
        <w:t>14:00</w:t>
      </w:r>
      <w:r>
        <w:rPr>
          <w:rFonts w:hint="eastAsia" w:ascii="宋体" w:hAnsi="宋体" w:eastAsia="宋体"/>
          <w:sz w:val="24"/>
          <w:szCs w:val="24"/>
        </w:rPr>
        <w:t>。</w:t>
      </w:r>
    </w:p>
    <w:p>
      <w:pPr>
        <w:spacing w:after="0" w:line="500" w:lineRule="atLeast"/>
        <w:ind w:firstLine="480" w:firstLineChars="200"/>
        <w:rPr>
          <w:rFonts w:hint="default" w:ascii="宋体" w:hAnsi="宋体" w:eastAsia="宋体"/>
          <w:sz w:val="24"/>
          <w:szCs w:val="24"/>
          <w:lang w:val="en-US" w:eastAsia="zh-CN"/>
        </w:rPr>
      </w:pPr>
      <w:r>
        <w:rPr>
          <w:rFonts w:hint="eastAsia" w:ascii="宋体" w:hAnsi="宋体"/>
          <w:sz w:val="24"/>
          <w:szCs w:val="24"/>
          <w:lang w:val="en-US" w:eastAsia="zh-CN"/>
        </w:rPr>
        <w:t>3</w:t>
      </w:r>
      <w:r>
        <w:rPr>
          <w:rFonts w:hint="eastAsia" w:ascii="宋体" w:hAnsi="宋体" w:eastAsia="宋体"/>
          <w:sz w:val="24"/>
          <w:szCs w:val="24"/>
        </w:rPr>
        <w:t>、招标文件获取时间：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6</w:t>
      </w:r>
      <w:r>
        <w:rPr>
          <w:rFonts w:hint="eastAsia" w:ascii="宋体" w:hAnsi="宋体" w:eastAsia="宋体"/>
          <w:sz w:val="24"/>
          <w:szCs w:val="24"/>
        </w:rPr>
        <w:t>日</w:t>
      </w:r>
      <w:r>
        <w:rPr>
          <w:rFonts w:hint="eastAsia" w:ascii="宋体" w:hAnsi="宋体" w:eastAsia="宋体"/>
          <w:sz w:val="24"/>
          <w:szCs w:val="24"/>
          <w:lang w:val="en-US" w:eastAsia="zh-CN"/>
        </w:rPr>
        <w:t xml:space="preserve">9:00 </w:t>
      </w:r>
      <w:r>
        <w:rPr>
          <w:rFonts w:hint="eastAsia" w:ascii="宋体" w:hAnsi="宋体" w:eastAsia="宋体"/>
          <w:sz w:val="24"/>
          <w:szCs w:val="24"/>
        </w:rPr>
        <w:t>至</w:t>
      </w:r>
      <w:r>
        <w:rPr>
          <w:rFonts w:hint="eastAsia" w:ascii="宋体" w:hAnsi="宋体" w:eastAsia="宋体"/>
          <w:sz w:val="24"/>
          <w:szCs w:val="24"/>
          <w:lang w:val="en-US" w:eastAsia="zh-CN"/>
        </w:rPr>
        <w:t xml:space="preserve"> 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7</w:t>
      </w:r>
      <w:r>
        <w:rPr>
          <w:rFonts w:hint="eastAsia" w:ascii="宋体" w:hAnsi="宋体" w:eastAsia="宋体"/>
          <w:sz w:val="24"/>
          <w:szCs w:val="24"/>
        </w:rPr>
        <w:t>日</w:t>
      </w:r>
      <w:r>
        <w:rPr>
          <w:rFonts w:hint="eastAsia" w:ascii="宋体" w:hAnsi="宋体" w:eastAsia="宋体"/>
          <w:sz w:val="24"/>
          <w:szCs w:val="24"/>
          <w:lang w:val="en-US" w:eastAsia="zh-CN"/>
        </w:rPr>
        <w:t xml:space="preserve"> 17:00</w:t>
      </w:r>
      <w:r>
        <w:rPr>
          <w:rFonts w:hint="eastAsia" w:ascii="宋体" w:hAnsi="宋体" w:eastAsia="宋体"/>
          <w:sz w:val="24"/>
          <w:szCs w:val="24"/>
        </w:rPr>
        <w:t>。</w:t>
      </w:r>
      <w:r>
        <w:rPr>
          <w:rFonts w:hint="eastAsia" w:ascii="宋体" w:hAnsi="宋体" w:eastAsia="宋体"/>
          <w:sz w:val="24"/>
          <w:szCs w:val="24"/>
          <w:lang w:val="en-US" w:eastAsia="zh-CN"/>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720" w:firstLineChars="30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获取方式：电子邮件形式发送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十二、招标文件递交：</w:t>
      </w:r>
      <w:r>
        <w:rPr>
          <w:rFonts w:hint="eastAsia" w:asciiTheme="minorEastAsia" w:hAnsiTheme="minorEastAsia" w:eastAsiaTheme="minorEastAsia" w:cstheme="minorEastAsia"/>
          <w:b w:val="0"/>
          <w:bCs w:val="0"/>
          <w:color w:val="auto"/>
          <w:kern w:val="0"/>
          <w:sz w:val="24"/>
          <w:szCs w:val="24"/>
          <w:lang w:val="en-US" w:eastAsia="zh-CN" w:bidi="ar"/>
        </w:rPr>
        <w:t xml:space="preserve"> </w:t>
      </w:r>
      <w:r>
        <w:rPr>
          <w:rFonts w:hint="eastAsia" w:ascii="宋体" w:hAnsi="宋体" w:eastAsia="宋体"/>
          <w:sz w:val="24"/>
          <w:szCs w:val="24"/>
        </w:rPr>
        <w:t>投标文件递交截止时间：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13</w:t>
      </w:r>
      <w:r>
        <w:rPr>
          <w:rFonts w:hint="eastAsia" w:ascii="宋体" w:hAnsi="宋体" w:eastAsia="宋体"/>
          <w:sz w:val="24"/>
          <w:szCs w:val="24"/>
        </w:rPr>
        <w:t>日</w:t>
      </w:r>
      <w:r>
        <w:rPr>
          <w:rFonts w:hint="eastAsia" w:ascii="宋体" w:hAnsi="宋体" w:eastAsia="宋体"/>
          <w:sz w:val="24"/>
          <w:szCs w:val="24"/>
          <w:lang w:val="en-US" w:eastAsia="zh-CN"/>
        </w:rPr>
        <w:t xml:space="preserve">17:00 </w:t>
      </w:r>
      <w:r>
        <w:rPr>
          <w:rFonts w:hint="eastAsia" w:ascii="宋体" w:hAnsi="宋体" w:eastAsia="宋体"/>
          <w:sz w:val="24"/>
          <w:szCs w:val="24"/>
        </w:rPr>
        <w:t>。</w:t>
      </w:r>
      <w:r>
        <w:rPr>
          <w:rFonts w:hint="eastAsia" w:asciiTheme="minorEastAsia" w:hAnsiTheme="minorEastAsia" w:eastAsiaTheme="minorEastAsia" w:cstheme="minorEastAsia"/>
          <w:b w:val="0"/>
          <w:bCs w:val="0"/>
          <w:color w:val="auto"/>
          <w:kern w:val="0"/>
          <w:sz w:val="24"/>
          <w:szCs w:val="24"/>
          <w:lang w:val="en-US" w:eastAsia="zh-CN" w:bidi="ar"/>
        </w:rPr>
        <w:t xml:space="preserve"> 递交方式：纸质投标文件邮寄至宝鸡市渭滨区钛城路1号宝钛集团老区；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bCs/>
          <w:color w:val="auto"/>
          <w:kern w:val="0"/>
          <w:sz w:val="24"/>
          <w:szCs w:val="24"/>
          <w:lang w:val="en-US" w:eastAsia="zh-CN" w:bidi="ar"/>
        </w:rPr>
        <w:t>十三、开标时间及地点</w:t>
      </w: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开标时间：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14</w:t>
      </w:r>
      <w:r>
        <w:rPr>
          <w:rFonts w:hint="eastAsia" w:ascii="宋体" w:hAnsi="宋体" w:eastAsia="宋体"/>
          <w:sz w:val="24"/>
          <w:szCs w:val="24"/>
        </w:rPr>
        <w:t>日</w:t>
      </w:r>
      <w:r>
        <w:rPr>
          <w:rFonts w:hint="eastAsia" w:ascii="宋体" w:hAnsi="宋体" w:eastAsia="宋体"/>
          <w:sz w:val="24"/>
          <w:szCs w:val="24"/>
          <w:lang w:val="en-US" w:eastAsia="zh-CN"/>
        </w:rPr>
        <w:t xml:space="preserve">10:30 </w:t>
      </w: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开标方式：宝钛集团有限公司智能制造线上腾讯会议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十四、报名时间：</w:t>
      </w:r>
      <w:r>
        <w:rPr>
          <w:rFonts w:hint="eastAsia" w:ascii="宋体" w:hAnsi="宋体" w:eastAsia="宋体"/>
          <w:sz w:val="24"/>
          <w:szCs w:val="24"/>
          <w:lang w:val="en-US" w:eastAsia="zh-CN"/>
        </w:rPr>
        <w:t xml:space="preserve">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3</w:t>
      </w:r>
      <w:r>
        <w:rPr>
          <w:rFonts w:hint="eastAsia" w:ascii="宋体" w:hAnsi="宋体" w:eastAsia="宋体"/>
          <w:sz w:val="24"/>
          <w:szCs w:val="24"/>
        </w:rPr>
        <w:t>日</w:t>
      </w:r>
      <w:r>
        <w:rPr>
          <w:rFonts w:hint="eastAsia" w:ascii="宋体" w:hAnsi="宋体" w:eastAsia="宋体"/>
          <w:sz w:val="24"/>
          <w:szCs w:val="24"/>
          <w:lang w:val="en-US" w:eastAsia="zh-CN"/>
        </w:rPr>
        <w:t xml:space="preserve">8:00 </w:t>
      </w:r>
      <w:r>
        <w:rPr>
          <w:rFonts w:hint="eastAsia" w:ascii="宋体" w:hAnsi="宋体" w:eastAsia="宋体"/>
          <w:sz w:val="24"/>
          <w:szCs w:val="24"/>
        </w:rPr>
        <w:t>至</w:t>
      </w:r>
      <w:r>
        <w:rPr>
          <w:rFonts w:hint="eastAsia" w:ascii="宋体" w:hAnsi="宋体" w:eastAsia="宋体"/>
          <w:sz w:val="24"/>
          <w:szCs w:val="24"/>
          <w:lang w:val="en-US" w:eastAsia="zh-CN"/>
        </w:rPr>
        <w:t xml:space="preserve"> 2022 </w:t>
      </w:r>
      <w:r>
        <w:rPr>
          <w:rFonts w:hint="eastAsia" w:ascii="宋体" w:hAnsi="宋体" w:eastAsia="宋体"/>
          <w:sz w:val="24"/>
          <w:szCs w:val="24"/>
        </w:rPr>
        <w:t>年</w:t>
      </w:r>
      <w:r>
        <w:rPr>
          <w:rFonts w:hint="eastAsia" w:ascii="宋体" w:hAnsi="宋体" w:eastAsia="宋体"/>
          <w:sz w:val="24"/>
          <w:szCs w:val="24"/>
          <w:lang w:val="en-US" w:eastAsia="zh-CN"/>
        </w:rPr>
        <w:t>1</w:t>
      </w:r>
      <w:r>
        <w:rPr>
          <w:rFonts w:hint="eastAsia" w:ascii="宋体" w:hAnsi="宋体" w:eastAsia="宋体"/>
          <w:sz w:val="24"/>
          <w:szCs w:val="24"/>
        </w:rPr>
        <w:t>月</w:t>
      </w:r>
      <w:r>
        <w:rPr>
          <w:rFonts w:hint="eastAsia" w:ascii="宋体" w:hAnsi="宋体" w:eastAsia="宋体"/>
          <w:sz w:val="24"/>
          <w:szCs w:val="24"/>
          <w:lang w:val="en-US" w:eastAsia="zh-CN"/>
        </w:rPr>
        <w:t>4</w:t>
      </w:r>
      <w:r>
        <w:rPr>
          <w:rFonts w:hint="eastAsia" w:ascii="宋体" w:hAnsi="宋体" w:eastAsia="宋体"/>
          <w:sz w:val="24"/>
          <w:szCs w:val="24"/>
        </w:rPr>
        <w:t>日</w:t>
      </w:r>
      <w:r>
        <w:rPr>
          <w:rFonts w:hint="eastAsia" w:ascii="宋体" w:hAnsi="宋体" w:eastAsia="宋体"/>
          <w:sz w:val="24"/>
          <w:szCs w:val="24"/>
          <w:lang w:val="en-US" w:eastAsia="zh-CN"/>
        </w:rPr>
        <w:t>13:00</w:t>
      </w:r>
      <w:r>
        <w:rPr>
          <w:rFonts w:hint="eastAsia" w:asciiTheme="minorEastAsia" w:hAnsiTheme="minorEastAsia" w:eastAsiaTheme="minorEastAsia" w:cstheme="minorEastAsia"/>
          <w:b w:val="0"/>
          <w:bCs w:val="0"/>
          <w:color w:val="auto"/>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42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bCs/>
          <w:color w:val="auto"/>
          <w:kern w:val="0"/>
          <w:sz w:val="24"/>
          <w:szCs w:val="24"/>
          <w:lang w:val="en-US" w:eastAsia="zh-CN" w:bidi="ar"/>
        </w:rPr>
        <w:t>十</w:t>
      </w:r>
      <w:r>
        <w:rPr>
          <w:rFonts w:hint="eastAsia" w:asciiTheme="minorEastAsia" w:hAnsiTheme="minorEastAsia" w:cstheme="minorEastAsia"/>
          <w:b/>
          <w:bCs/>
          <w:color w:val="auto"/>
          <w:kern w:val="0"/>
          <w:sz w:val="24"/>
          <w:szCs w:val="24"/>
          <w:lang w:val="en-US" w:eastAsia="zh-CN" w:bidi="ar"/>
        </w:rPr>
        <w:t>五</w:t>
      </w:r>
      <w:r>
        <w:rPr>
          <w:rFonts w:hint="eastAsia" w:asciiTheme="minorEastAsia" w:hAnsiTheme="minorEastAsia" w:eastAsiaTheme="minorEastAsia" w:cstheme="minorEastAsia"/>
          <w:b/>
          <w:bCs/>
          <w:color w:val="auto"/>
          <w:kern w:val="0"/>
          <w:sz w:val="24"/>
          <w:szCs w:val="24"/>
          <w:lang w:val="en-US" w:eastAsia="zh-CN" w:bidi="ar"/>
        </w:rPr>
        <w:t>、报名方式：</w:t>
      </w:r>
      <w:r>
        <w:rPr>
          <w:rFonts w:hint="eastAsia" w:asciiTheme="minorEastAsia" w:hAnsiTheme="minorEastAsia" w:eastAsiaTheme="minorEastAsia" w:cstheme="minorEastAsia"/>
          <w:b w:val="0"/>
          <w:bCs w:val="0"/>
          <w:color w:val="auto"/>
          <w:kern w:val="0"/>
          <w:sz w:val="24"/>
          <w:szCs w:val="24"/>
          <w:lang w:val="en-US" w:eastAsia="zh-CN" w:bidi="ar"/>
        </w:rPr>
        <w:br w:type="textWrapping"/>
      </w:r>
      <w:r>
        <w:rPr>
          <w:rFonts w:hint="eastAsia" w:asciiTheme="minorEastAsia" w:hAnsiTheme="minorEastAsia" w:eastAsiaTheme="minorEastAsia" w:cstheme="minorEastAsia"/>
          <w:b w:val="0"/>
          <w:bCs w:val="0"/>
          <w:color w:val="auto"/>
          <w:kern w:val="0"/>
          <w:sz w:val="24"/>
          <w:szCs w:val="24"/>
          <w:lang w:val="en-US" w:eastAsia="zh-CN" w:bidi="ar"/>
        </w:rPr>
        <w:t>  （1）报名确认信息（以下信息以电子邮件发送）：</w:t>
      </w:r>
      <w:r>
        <w:rPr>
          <w:rFonts w:hint="eastAsia" w:asciiTheme="minorEastAsia" w:hAnsiTheme="minorEastAsia" w:eastAsiaTheme="minorEastAsia" w:cstheme="minorEastAsia"/>
          <w:b w:val="0"/>
          <w:bCs w:val="0"/>
          <w:color w:val="auto"/>
          <w:kern w:val="0"/>
          <w:sz w:val="24"/>
          <w:szCs w:val="24"/>
          <w:lang w:val="en-US" w:eastAsia="zh-CN" w:bidi="ar"/>
        </w:rPr>
        <w:br w:type="textWrapping"/>
      </w:r>
      <w:r>
        <w:rPr>
          <w:rFonts w:hint="eastAsia" w:asciiTheme="minorEastAsia" w:hAnsiTheme="minorEastAsia" w:eastAsiaTheme="minorEastAsia" w:cstheme="minorEastAsia"/>
          <w:b w:val="0"/>
          <w:bCs w:val="0"/>
          <w:color w:val="auto"/>
          <w:kern w:val="0"/>
          <w:sz w:val="24"/>
          <w:szCs w:val="24"/>
          <w:lang w:val="en-US" w:eastAsia="zh-CN" w:bidi="ar"/>
        </w:rPr>
        <w:t xml:space="preserve">  </w:t>
      </w:r>
      <w:r>
        <w:rPr>
          <w:rFonts w:hint="eastAsia" w:asciiTheme="minorEastAsia" w:hAnsiTheme="minorEastAsia" w:cstheme="minorEastAsia"/>
          <w:b w:val="0"/>
          <w:bCs w:val="0"/>
          <w:color w:val="auto"/>
          <w:kern w:val="0"/>
          <w:sz w:val="24"/>
          <w:szCs w:val="24"/>
          <w:lang w:val="en-US" w:eastAsia="zh-CN" w:bidi="ar"/>
        </w:rPr>
        <w:t xml:space="preserve">   </w:t>
      </w:r>
      <w:r>
        <w:rPr>
          <w:rFonts w:hint="eastAsia" w:asciiTheme="minorEastAsia" w:hAnsiTheme="minorEastAsia" w:eastAsiaTheme="minorEastAsia" w:cstheme="minorEastAsia"/>
          <w:b w:val="0"/>
          <w:bCs w:val="0"/>
          <w:color w:val="auto"/>
          <w:kern w:val="0"/>
          <w:sz w:val="24"/>
          <w:szCs w:val="24"/>
          <w:lang w:val="en-US" w:eastAsia="zh-CN" w:bidi="ar"/>
        </w:rPr>
        <w:t>A.参加招标项目名称、公司名称、联系人及方式请标注在邮件首页；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720" w:firstLineChars="300"/>
        <w:jc w:val="left"/>
        <w:rPr>
          <w:rFonts w:hint="eastAsia" w:asciiTheme="minorEastAsia" w:hAnsiTheme="minorEastAsia" w:eastAsiaTheme="minorEastAsia" w:cstheme="minorEastAsia"/>
          <w:b w:val="0"/>
          <w:bCs w:val="0"/>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lang w:val="en-US" w:eastAsia="zh-CN" w:bidi="ar"/>
        </w:rPr>
        <w:t>B</w:t>
      </w:r>
      <w:r>
        <w:rPr>
          <w:rFonts w:hint="eastAsia" w:asciiTheme="minorEastAsia" w:hAnsiTheme="minorEastAsia" w:cstheme="minorEastAsia"/>
          <w:b w:val="0"/>
          <w:bCs w:val="0"/>
          <w:color w:val="auto"/>
          <w:kern w:val="0"/>
          <w:sz w:val="24"/>
          <w:szCs w:val="24"/>
          <w:lang w:val="en-US" w:eastAsia="zh-CN" w:bidi="ar"/>
        </w:rPr>
        <w:t>.</w:t>
      </w:r>
      <w:r>
        <w:rPr>
          <w:rFonts w:hint="eastAsia" w:asciiTheme="minorEastAsia" w:hAnsiTheme="minorEastAsia" w:eastAsiaTheme="minorEastAsia" w:cstheme="minorEastAsia"/>
          <w:b w:val="0"/>
          <w:bCs w:val="0"/>
          <w:color w:val="auto"/>
          <w:kern w:val="0"/>
          <w:sz w:val="24"/>
          <w:szCs w:val="24"/>
          <w:lang w:val="en-US" w:eastAsia="zh-CN" w:bidi="ar"/>
        </w:rPr>
        <w:t>公司简介及业绩（电子版）以附件形式发送。（不接受超大附件）</w:t>
      </w:r>
      <w:r>
        <w:rPr>
          <w:rFonts w:hint="eastAsia" w:asciiTheme="minorEastAsia" w:hAnsiTheme="minorEastAsia" w:eastAsiaTheme="minorEastAsia" w:cstheme="minorEastAsia"/>
          <w:b w:val="0"/>
          <w:bCs w:val="0"/>
          <w:color w:val="auto"/>
          <w:kern w:val="0"/>
          <w:sz w:val="24"/>
          <w:szCs w:val="24"/>
          <w:lang w:val="en-US" w:eastAsia="zh-CN" w:bidi="ar"/>
        </w:rPr>
        <w:br w:type="textWrapping"/>
      </w:r>
      <w:r>
        <w:rPr>
          <w:rFonts w:hint="eastAsia" w:asciiTheme="minorEastAsia" w:hAnsiTheme="minorEastAsia" w:eastAsiaTheme="minorEastAsia" w:cstheme="minorEastAsia"/>
          <w:b w:val="0"/>
          <w:bCs w:val="0"/>
          <w:color w:val="auto"/>
          <w:kern w:val="0"/>
          <w:sz w:val="24"/>
          <w:szCs w:val="24"/>
          <w:lang w:val="en-US" w:eastAsia="zh-CN" w:bidi="ar"/>
        </w:rPr>
        <w:t>  （2）联系人:李明旭</w:t>
      </w:r>
      <w:r>
        <w:rPr>
          <w:rFonts w:hint="eastAsia" w:asciiTheme="minorEastAsia" w:hAnsiTheme="minorEastAsia" w:cstheme="minorEastAsia"/>
          <w:b w:val="0"/>
          <w:bCs w:val="0"/>
          <w:color w:val="auto"/>
          <w:kern w:val="0"/>
          <w:sz w:val="24"/>
          <w:szCs w:val="24"/>
          <w:lang w:val="en-US" w:eastAsia="zh-CN" w:bidi="ar"/>
        </w:rPr>
        <w:t xml:space="preserve">  </w:t>
      </w:r>
      <w:r>
        <w:rPr>
          <w:rFonts w:hint="eastAsia" w:asciiTheme="minorEastAsia" w:hAnsiTheme="minorEastAsia" w:eastAsiaTheme="minorEastAsia" w:cstheme="minorEastAsia"/>
          <w:b w:val="0"/>
          <w:bCs w:val="0"/>
          <w:color w:val="auto"/>
          <w:kern w:val="0"/>
          <w:sz w:val="24"/>
          <w:szCs w:val="24"/>
          <w:lang w:val="en-US" w:eastAsia="zh-CN" w:bidi="ar"/>
        </w:rPr>
        <w:t>电话：13892702991 电话＆传真：0917—3382593</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right="0" w:firstLine="960" w:firstLineChars="400"/>
        <w:jc w:val="left"/>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kern w:val="0"/>
          <w:sz w:val="24"/>
          <w:szCs w:val="24"/>
          <w:lang w:val="en-US" w:eastAsia="zh-CN" w:bidi="ar"/>
        </w:rPr>
        <w:t xml:space="preserve">电子邮箱：292815762@qq.com </w:t>
      </w:r>
    </w:p>
    <w:p>
      <w:pPr>
        <w:rPr>
          <w:rFonts w:hint="eastAsia" w:asciiTheme="minorEastAsia" w:hAnsiTheme="minorEastAsia" w:eastAsiaTheme="minorEastAsia" w:cstheme="minorEastAsia"/>
          <w:b w:val="0"/>
          <w:bCs w:val="0"/>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TT21o00">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 w:name="TT22o00">
    <w:altName w:val="SWAstro"/>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CE4EB9"/>
    <w:multiLevelType w:val="singleLevel"/>
    <w:tmpl w:val="DCCE4EB9"/>
    <w:lvl w:ilvl="0" w:tentative="0">
      <w:start w:val="1"/>
      <w:numFmt w:val="bullet"/>
      <w:lvlText w:val=""/>
      <w:lvlJc w:val="left"/>
      <w:pPr>
        <w:ind w:left="420" w:hanging="420"/>
      </w:pPr>
      <w:rPr>
        <w:rFonts w:hint="default" w:ascii="Wingdings" w:hAnsi="Wingdings"/>
      </w:rPr>
    </w:lvl>
  </w:abstractNum>
  <w:abstractNum w:abstractNumId="1">
    <w:nsid w:val="0ABB5301"/>
    <w:multiLevelType w:val="singleLevel"/>
    <w:tmpl w:val="0ABB5301"/>
    <w:lvl w:ilvl="0" w:tentative="0">
      <w:start w:val="1"/>
      <w:numFmt w:val="decimal"/>
      <w:suff w:val="nothing"/>
      <w:lvlText w:val="%1）"/>
      <w:lvlJc w:val="left"/>
    </w:lvl>
  </w:abstractNum>
  <w:abstractNum w:abstractNumId="2">
    <w:nsid w:val="1E956F1E"/>
    <w:multiLevelType w:val="multilevel"/>
    <w:tmpl w:val="1E956F1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4A5D5E3B"/>
    <w:multiLevelType w:val="singleLevel"/>
    <w:tmpl w:val="4A5D5E3B"/>
    <w:lvl w:ilvl="0" w:tentative="0">
      <w:start w:val="1"/>
      <w:numFmt w:val="chineseCounting"/>
      <w:suff w:val="nothing"/>
      <w:lvlText w:val="%1、"/>
      <w:lvlJc w:val="left"/>
      <w:rPr>
        <w:rFonts w:hint="eastAsia"/>
      </w:rPr>
    </w:lvl>
  </w:abstractNum>
  <w:abstractNum w:abstractNumId="4">
    <w:nsid w:val="4F67664E"/>
    <w:multiLevelType w:val="multilevel"/>
    <w:tmpl w:val="4F67664E"/>
    <w:lvl w:ilvl="0" w:tentative="0">
      <w:start w:val="1"/>
      <w:numFmt w:val="bullet"/>
      <w:lvlText w:val=""/>
      <w:lvlJc w:val="left"/>
      <w:pPr>
        <w:ind w:left="1130" w:hanging="420"/>
      </w:pPr>
      <w:rPr>
        <w:rFonts w:hint="default" w:ascii="Wingdings" w:hAnsi="Wingdings"/>
        <w:color w:val="000000"/>
      </w:rPr>
    </w:lvl>
    <w:lvl w:ilvl="1" w:tentative="0">
      <w:start w:val="1"/>
      <w:numFmt w:val="bullet"/>
      <w:lvlText w:val=""/>
      <w:lvlJc w:val="left"/>
      <w:pPr>
        <w:ind w:left="1569" w:hanging="420"/>
      </w:pPr>
      <w:rPr>
        <w:rFonts w:hint="default" w:ascii="Wingdings" w:hAnsi="Wingdings"/>
      </w:rPr>
    </w:lvl>
    <w:lvl w:ilvl="2" w:tentative="0">
      <w:start w:val="1"/>
      <w:numFmt w:val="bullet"/>
      <w:lvlText w:val=""/>
      <w:lvlJc w:val="left"/>
      <w:pPr>
        <w:ind w:left="1989" w:hanging="420"/>
      </w:pPr>
      <w:rPr>
        <w:rFonts w:hint="default" w:ascii="Wingdings" w:hAnsi="Wingdings"/>
      </w:rPr>
    </w:lvl>
    <w:lvl w:ilvl="3" w:tentative="0">
      <w:start w:val="1"/>
      <w:numFmt w:val="bullet"/>
      <w:lvlText w:val=""/>
      <w:lvlJc w:val="left"/>
      <w:pPr>
        <w:ind w:left="2409" w:hanging="420"/>
      </w:pPr>
      <w:rPr>
        <w:rFonts w:hint="default" w:ascii="Wingdings" w:hAnsi="Wingdings"/>
      </w:rPr>
    </w:lvl>
    <w:lvl w:ilvl="4" w:tentative="0">
      <w:start w:val="1"/>
      <w:numFmt w:val="bullet"/>
      <w:lvlText w:val=""/>
      <w:lvlJc w:val="left"/>
      <w:pPr>
        <w:ind w:left="2829" w:hanging="420"/>
      </w:pPr>
      <w:rPr>
        <w:rFonts w:hint="default" w:ascii="Wingdings" w:hAnsi="Wingdings"/>
      </w:rPr>
    </w:lvl>
    <w:lvl w:ilvl="5" w:tentative="0">
      <w:start w:val="1"/>
      <w:numFmt w:val="bullet"/>
      <w:lvlText w:val=""/>
      <w:lvlJc w:val="left"/>
      <w:pPr>
        <w:ind w:left="3249" w:hanging="420"/>
      </w:pPr>
      <w:rPr>
        <w:rFonts w:hint="default" w:ascii="Wingdings" w:hAnsi="Wingdings"/>
      </w:rPr>
    </w:lvl>
    <w:lvl w:ilvl="6" w:tentative="0">
      <w:start w:val="1"/>
      <w:numFmt w:val="bullet"/>
      <w:lvlText w:val=""/>
      <w:lvlJc w:val="left"/>
      <w:pPr>
        <w:ind w:left="3669" w:hanging="420"/>
      </w:pPr>
      <w:rPr>
        <w:rFonts w:hint="default" w:ascii="Wingdings" w:hAnsi="Wingdings"/>
      </w:rPr>
    </w:lvl>
    <w:lvl w:ilvl="7" w:tentative="0">
      <w:start w:val="1"/>
      <w:numFmt w:val="bullet"/>
      <w:lvlText w:val=""/>
      <w:lvlJc w:val="left"/>
      <w:pPr>
        <w:ind w:left="4089" w:hanging="420"/>
      </w:pPr>
      <w:rPr>
        <w:rFonts w:hint="default" w:ascii="Wingdings" w:hAnsi="Wingdings"/>
      </w:rPr>
    </w:lvl>
    <w:lvl w:ilvl="8" w:tentative="0">
      <w:start w:val="1"/>
      <w:numFmt w:val="bullet"/>
      <w:lvlText w:val=""/>
      <w:lvlJc w:val="left"/>
      <w:pPr>
        <w:ind w:left="4509" w:hanging="420"/>
      </w:pPr>
      <w:rPr>
        <w:rFonts w:hint="default" w:ascii="Wingdings" w:hAnsi="Wingdings"/>
      </w:rPr>
    </w:lvl>
  </w:abstractNum>
  <w:abstractNum w:abstractNumId="5">
    <w:nsid w:val="58D5E6A1"/>
    <w:multiLevelType w:val="singleLevel"/>
    <w:tmpl w:val="58D5E6A1"/>
    <w:lvl w:ilvl="0" w:tentative="0">
      <w:start w:val="1"/>
      <w:numFmt w:val="decimal"/>
      <w:suff w:val="nothing"/>
      <w:lvlText w:val="%1."/>
      <w:lvlJc w:val="left"/>
    </w:lvl>
  </w:abstractNum>
  <w:abstractNum w:abstractNumId="6">
    <w:nsid w:val="5F3F2BC2"/>
    <w:multiLevelType w:val="singleLevel"/>
    <w:tmpl w:val="5F3F2BC2"/>
    <w:lvl w:ilvl="0" w:tentative="0">
      <w:start w:val="2"/>
      <w:numFmt w:val="decimal"/>
      <w:suff w:val="nothing"/>
      <w:lvlText w:val="%1、"/>
      <w:lvlJc w:val="left"/>
    </w:lvl>
  </w:abstractNum>
  <w:num w:numId="1">
    <w:abstractNumId w:val="3"/>
  </w:num>
  <w:num w:numId="2">
    <w:abstractNumId w:val="4"/>
  </w:num>
  <w:num w:numId="3">
    <w:abstractNumId w:val="1"/>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A250F"/>
    <w:rsid w:val="06425264"/>
    <w:rsid w:val="080D4D13"/>
    <w:rsid w:val="14DA426F"/>
    <w:rsid w:val="199748AF"/>
    <w:rsid w:val="1AFC4EBF"/>
    <w:rsid w:val="223A6935"/>
    <w:rsid w:val="230B173C"/>
    <w:rsid w:val="23E57440"/>
    <w:rsid w:val="253634F0"/>
    <w:rsid w:val="2CD351ED"/>
    <w:rsid w:val="2D7B3B14"/>
    <w:rsid w:val="2E201864"/>
    <w:rsid w:val="40DB5D1D"/>
    <w:rsid w:val="41B63597"/>
    <w:rsid w:val="43AB3BC6"/>
    <w:rsid w:val="43D82577"/>
    <w:rsid w:val="4E4361B3"/>
    <w:rsid w:val="595A367D"/>
    <w:rsid w:val="5C4731BB"/>
    <w:rsid w:val="5C5824D9"/>
    <w:rsid w:val="5F397929"/>
    <w:rsid w:val="62053A53"/>
    <w:rsid w:val="7CF76CB1"/>
    <w:rsid w:val="7D1337FF"/>
    <w:rsid w:val="7D6A2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spacing w:beforeLines="10" w:afterLines="10" w:line="360" w:lineRule="auto"/>
      <w:ind w:firstLine="420" w:firstLineChars="200"/>
    </w:pPr>
    <w:rPr>
      <w:rFonts w:ascii="Times New Roman" w:hAnsi="Times New Roman"/>
      <w:sz w:val="24"/>
      <w:szCs w:val="24"/>
    </w:rPr>
  </w:style>
  <w:style w:type="paragraph" w:styleId="3">
    <w:name w:val="Plain Text"/>
    <w:basedOn w:val="1"/>
    <w:qFormat/>
    <w:uiPriority w:val="0"/>
    <w:rPr>
      <w:rFonts w:hint="eastAsia" w:ascii="宋体" w:hAnsi="Courier New" w:cs="Courier New"/>
      <w:szCs w:val="21"/>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qFormat/>
    <w:uiPriority w:val="0"/>
    <w:rPr>
      <w:color w:val="800080"/>
      <w:u w:val="none"/>
    </w:rPr>
  </w:style>
  <w:style w:type="character" w:styleId="9">
    <w:name w:val="Hyperlink"/>
    <w:basedOn w:val="7"/>
    <w:qFormat/>
    <w:uiPriority w:val="0"/>
    <w:rPr>
      <w:color w:val="0000FF"/>
      <w:u w:val="none"/>
    </w:rPr>
  </w:style>
  <w:style w:type="character" w:customStyle="1" w:styleId="10">
    <w:name w:val="active2"/>
    <w:basedOn w:val="7"/>
    <w:qFormat/>
    <w:uiPriority w:val="0"/>
    <w:rPr>
      <w:color w:val="FFFFFF"/>
      <w:shd w:val="clear" w:fill="4A86DB"/>
    </w:rPr>
  </w:style>
  <w:style w:type="character" w:customStyle="1" w:styleId="11">
    <w:name w:val="first-child4"/>
    <w:basedOn w:val="7"/>
    <w:qFormat/>
    <w:uiPriority w:val="0"/>
  </w:style>
  <w:style w:type="character" w:customStyle="1" w:styleId="12">
    <w:name w:val="bsharetext"/>
    <w:basedOn w:val="7"/>
    <w:qFormat/>
    <w:uiPriority w:val="0"/>
  </w:style>
  <w:style w:type="character" w:customStyle="1" w:styleId="13">
    <w:name w:val="fl4"/>
    <w:basedOn w:val="7"/>
    <w:qFormat/>
    <w:uiPriority w:val="0"/>
    <w:rPr>
      <w:b/>
      <w:bCs/>
      <w:color w:val="666666"/>
      <w:sz w:val="21"/>
      <w:szCs w:val="21"/>
    </w:rPr>
  </w:style>
  <w:style w:type="character" w:customStyle="1" w:styleId="14">
    <w:name w:val="fl5"/>
    <w:basedOn w:val="7"/>
    <w:qFormat/>
    <w:uiPriority w:val="0"/>
    <w:rPr>
      <w:b/>
      <w:bCs/>
      <w:color w:val="333333"/>
    </w:rPr>
  </w:style>
  <w:style w:type="character" w:customStyle="1" w:styleId="15">
    <w:name w:val="font01"/>
    <w:basedOn w:val="7"/>
    <w:qFormat/>
    <w:uiPriority w:val="0"/>
    <w:rPr>
      <w:rFonts w:hint="eastAsia" w:ascii="宋体" w:hAnsi="宋体" w:eastAsia="宋体" w:cs="宋体"/>
      <w:color w:val="000000"/>
      <w:sz w:val="22"/>
      <w:szCs w:val="22"/>
      <w:u w:val="none"/>
    </w:rPr>
  </w:style>
  <w:style w:type="character" w:customStyle="1" w:styleId="16">
    <w:name w:val="font21"/>
    <w:basedOn w:val="7"/>
    <w:qFormat/>
    <w:uiPriority w:val="0"/>
    <w:rPr>
      <w:rFonts w:hint="eastAsia" w:ascii="宋体" w:hAns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2021-11-10T07:45:00Z</dcterms:created>
  <dc:creator>日月九日</dc:creator>
  <cp:lastModifiedBy>日月九日</cp:lastModifiedBy>
  <dcterms:modified xsi:type="dcterms:W3CDTF">2021-12-28T03:17:31Z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932E79EE809C4FD8BCA23F57C7D0DB46</vt:lpwstr>
  </property>
</Properties>
</file>