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2BFFA">
      <w:pPr>
        <w:pStyle w:val="3"/>
        <w:pageBreakBefore/>
        <w:spacing w:before="0" w:afterLines="50" w:line="240" w:lineRule="auto"/>
        <w:jc w:val="center"/>
        <w:outlineLvl w:val="0"/>
        <w:rPr>
          <w:rFonts w:hint="eastAsia" w:ascii="宋体" w:hAnsi="宋体" w:eastAsia="宋体" w:cs="宋体"/>
          <w:color w:val="auto"/>
          <w:sz w:val="40"/>
          <w:szCs w:val="18"/>
          <w:highlight w:val="none"/>
          <w:lang w:eastAsia="zh-CN"/>
        </w:rPr>
      </w:pPr>
      <w:bookmarkStart w:id="0" w:name="_Toc10373"/>
      <w:r>
        <w:rPr>
          <w:rFonts w:hint="eastAsia" w:ascii="宋体" w:hAnsi="宋体" w:eastAsia="宋体" w:cs="宋体"/>
          <w:color w:val="auto"/>
          <w:sz w:val="40"/>
          <w:szCs w:val="18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40"/>
          <w:szCs w:val="18"/>
          <w:highlight w:val="none"/>
          <w:lang w:eastAsia="zh-CN"/>
        </w:rPr>
        <w:t>公告</w:t>
      </w:r>
      <w:bookmarkEnd w:id="0"/>
    </w:p>
    <w:p w14:paraId="45525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宝钛金属制品有限公司</w:t>
      </w:r>
      <w:bookmarkStart w:id="1" w:name="_GoBack"/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树脂砂轮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项目招标公告</w:t>
      </w:r>
      <w:bookmarkEnd w:id="1"/>
    </w:p>
    <w:p w14:paraId="56431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(招标编号：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  <w:t>XYRBJ-（2024）073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)</w:t>
      </w:r>
    </w:p>
    <w:p w14:paraId="640F1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 w14:paraId="503DD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，宝鸡市</w:t>
      </w:r>
    </w:p>
    <w:p w14:paraId="19823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一、招标条件</w:t>
      </w:r>
    </w:p>
    <w:p w14:paraId="66012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树脂砂轮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项目，已由项目审批/核准/备案机关批准，项目资金来源为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企业自筹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。本项目已具备招标条件，现进行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公开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招标。</w:t>
      </w:r>
    </w:p>
    <w:p w14:paraId="197B1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二、项目概况和招标范围</w:t>
      </w:r>
    </w:p>
    <w:p w14:paraId="033E4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项目规模：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树脂砂轮片采购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，技术参数详见招标文件。</w:t>
      </w:r>
    </w:p>
    <w:p w14:paraId="2029B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数量：1万片</w:t>
      </w:r>
    </w:p>
    <w:p w14:paraId="64048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招标内容与范围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：树脂砂轮片采购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。</w:t>
      </w:r>
    </w:p>
    <w:p w14:paraId="1FC64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本招标项目划分为标段1个标段，本次招标为其中的：</w:t>
      </w:r>
    </w:p>
    <w:p w14:paraId="41FB9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树脂砂轮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项目；</w:t>
      </w:r>
    </w:p>
    <w:p w14:paraId="2BA84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三、投标人资格要求</w:t>
      </w:r>
    </w:p>
    <w:p w14:paraId="3F6EC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树脂砂轮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项目）投标人资格要求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：</w:t>
      </w:r>
    </w:p>
    <w:p w14:paraId="4BF5F71A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3.1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 xml:space="preserve">具有独立承担民事责任能力的法人或其他组织，提供营业执照； </w:t>
      </w:r>
    </w:p>
    <w:p w14:paraId="4C66355F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3.2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具备合格有效的法定代表人授权书及被授权人身份证（法定代表人参加需提供法定代表人资格证明书和身份证）；</w:t>
      </w:r>
    </w:p>
    <w:p w14:paraId="1CCB036A">
      <w:pPr>
        <w:snapToGrid w:val="0"/>
        <w:spacing w:line="360" w:lineRule="auto"/>
        <w:ind w:right="11" w:firstLine="440" w:firstLineChars="200"/>
        <w:jc w:val="left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3.3投标人为制造商须提供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相关证明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，如为授权经销商须提供制造商针对此项目授权；</w:t>
      </w:r>
    </w:p>
    <w:p w14:paraId="386E6B71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3.4投标人须具备环境管理体系认证证书；</w:t>
      </w:r>
    </w:p>
    <w:p w14:paraId="651D87D7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3.5投标人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须具有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质量管理体系认证证书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；</w:t>
      </w:r>
    </w:p>
    <w:p w14:paraId="07AD4006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投标人近3年（2021年1月至今）内向同类型打磨企业供应相同规格产品的业绩证明（以合同和给甲方开具的发票为准，时间以合同签订时间为准）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；</w:t>
      </w:r>
    </w:p>
    <w:p w14:paraId="74785B8C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投标人不得列入“国家企业信用信息公示系统”严重违法失信名单（黑名单）、不得列入“信用中国”严重失信主体名单、不得列入“中国执行信息公开网”失信被执行人名单；</w:t>
      </w:r>
    </w:p>
    <w:p w14:paraId="69FF0CA5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3.8投标人具有经审计的财务审计报告（2021-2023，每年度一份）(新成立的公司根据成立年限提供)；</w:t>
      </w:r>
    </w:p>
    <w:p w14:paraId="11D56C3A"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本项目不允许联合体投标。</w:t>
      </w:r>
    </w:p>
    <w:p w14:paraId="1705C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四、招标文件的获取</w:t>
      </w:r>
    </w:p>
    <w:p w14:paraId="089C3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秒---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 w14:paraId="682D7E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获取方法：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参加投标者请在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/>
        </w:rPr>
        <w:t>宝鸡市金台区鹏博财富中心5号楼A座10楼1004A室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持有关资料报名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:单位介绍信、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eastAsia="zh-CN" w:bidi="ar"/>
        </w:rPr>
        <w:t>法人授权委托书、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被授权人身份证原件和投标人资格要求的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val="en-US" w:eastAsia="zh-CN" w:bidi="ar"/>
        </w:rPr>
        <w:t>所有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资料原件备查及胶装成册加盖公章的复印件一套留存；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胶装件应逐页加盖单位公章并按照公告要求顺序装订，胶装件恕不退还。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招标文件售价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元，售后不退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 w14:paraId="47797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五、投标文件的递交</w:t>
      </w:r>
    </w:p>
    <w:p w14:paraId="5BE9B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 w14:paraId="680238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递交方法：宝鸡市金台区鹏博财富中心5号楼A座10楼1004A纸质文件递交</w:t>
      </w:r>
    </w:p>
    <w:p w14:paraId="48CE5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六、开标时间及地点</w:t>
      </w:r>
    </w:p>
    <w:p w14:paraId="1DE43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 w14:paraId="2205B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开标地点及方式：该项目为线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宝鸡市金台区鹏博财富中心5号楼A座10楼1004A会议室</w:t>
      </w:r>
    </w:p>
    <w:p w14:paraId="05788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七、其他公告内容</w:t>
      </w:r>
    </w:p>
    <w:p w14:paraId="6114C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本公告在《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宝钛集团官网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《陕西采购与招标网》发布。 </w:t>
      </w:r>
    </w:p>
    <w:p w14:paraId="62EFB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八、监督部门</w:t>
      </w:r>
    </w:p>
    <w:p w14:paraId="1E66B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本招标项目的监督部门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宝钛集团招标监督部门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 w14:paraId="7FD7B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九、联系方式</w:t>
      </w:r>
    </w:p>
    <w:p w14:paraId="3CB1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</w:p>
    <w:p w14:paraId="011AB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地址：陕西省宝鸡市钛城路一号</w:t>
      </w:r>
    </w:p>
    <w:p w14:paraId="599C0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李涛</w:t>
      </w:r>
    </w:p>
    <w:p w14:paraId="5638A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0917-3360175</w:t>
      </w:r>
    </w:p>
    <w:p w14:paraId="62DCC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litao292@163.com</w:t>
      </w:r>
    </w:p>
    <w:p w14:paraId="46AE0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 w14:paraId="2DD81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招标代理机构：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鑫益瑞建设工程有限公司</w:t>
      </w:r>
    </w:p>
    <w:p w14:paraId="600AA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宝鸡市金台区鹏博财富中心5号楼A座10楼1004A</w:t>
      </w:r>
    </w:p>
    <w:p w14:paraId="0E99D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联系人：袁龙利</w:t>
      </w:r>
    </w:p>
    <w:p w14:paraId="4B40E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18392785510</w:t>
      </w:r>
    </w:p>
    <w:p w14:paraId="6A4C3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736456988@qq.com</w:t>
      </w:r>
    </w:p>
    <w:p w14:paraId="4BEC3D63">
      <w:pPr>
        <w:rPr>
          <w:rFonts w:hint="eastAsia" w:ascii="宋体" w:hAnsi="宋体" w:eastAsia="宋体" w:cs="宋体"/>
          <w:color w:val="auto"/>
        </w:rPr>
      </w:pPr>
    </w:p>
    <w:p w14:paraId="081B5C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YjU2ZmJlNDQ3NGVmZDE0NTQ2NTg2ZGNmNTNjNzIifQ=="/>
  </w:docVars>
  <w:rsids>
    <w:rsidRoot w:val="37435FE7"/>
    <w:rsid w:val="3743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99"/>
    <w:pPr>
      <w:tabs>
        <w:tab w:val="left" w:pos="360"/>
      </w:tabs>
    </w:pPr>
    <w:rPr>
      <w:kern w:val="0"/>
      <w:sz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2024-07-29T00:00:00Z</dcterms:created>
  <dc:creator>熊</dc:creator>
  <cp:lastModifiedBy>熊</cp:lastModifiedBy>
  <dcterms:modified xsi:type="dcterms:W3CDTF">2024-07-29T00:00:26Z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BBEC48BACBBD4E6D94C40CDC8576C163_11</vt:lpwstr>
  </property>
</Properties>
</file>